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1D03ED">
            <w:rPr>
              <w:rStyle w:val="Style1"/>
            </w:rPr>
            <w:t>2653 New Measure</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D03ED">
            <w:rPr>
              <w:rStyle w:val="Style1"/>
              <w:rFonts w:cstheme="minorHAnsi"/>
            </w:rPr>
            <w:t>Average change in functional status following total knee replacement surgery</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10-31T00:00:00Z">
            <w:dateFormat w:val="M/d/yyyy"/>
            <w:lid w:val="en-US"/>
            <w:storeMappedDataAs w:val="dateTime"/>
            <w:calendar w:val="gregorian"/>
          </w:date>
        </w:sdtPr>
        <w:sdtEndPr>
          <w:rPr>
            <w:rStyle w:val="DefaultParagraphFont"/>
            <w:noProof/>
            <w:color w:val="auto"/>
            <w:u w:val="none"/>
          </w:rPr>
        </w:sdtEndPr>
        <w:sdtContent>
          <w:r w:rsidR="001D03ED">
            <w:rPr>
              <w:rStyle w:val="Style2"/>
              <w:rFonts w:cstheme="minorHAnsi"/>
            </w:rPr>
            <w:t>10/31/2014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E1337B"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E1337B"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1D03ED">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E1337B"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E1337B"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rsidTr="000B3880">
        <w:trPr>
          <w:jc w:val="center"/>
        </w:trPr>
        <w:tc>
          <w:tcPr>
            <w:tcW w:w="2547" w:type="pct"/>
          </w:tcPr>
          <w:p w:rsidR="00CD364B" w:rsidRPr="00B82A57" w:rsidRDefault="00E1337B"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E1337B"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1D03E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9F36A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9F36A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9F36A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E1337B"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E1337B"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C355B9" w:rsidRDefault="00C355B9" w:rsidP="00DB3627">
      <w:pPr>
        <w:autoSpaceDE w:val="0"/>
        <w:autoSpaceDN w:val="0"/>
        <w:adjustRightInd w:val="0"/>
        <w:spacing w:after="0" w:line="240" w:lineRule="auto"/>
        <w:rPr>
          <w:rFonts w:cstheme="minorHAnsi"/>
          <w:bCs/>
        </w:rPr>
      </w:pP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9F36A6">
            <w:rPr>
              <w:rStyle w:val="Style1"/>
            </w:rPr>
            <w:t>Patients with dates of procedure 1/1/2012 to 12/31/2012 plus a 15 month lag for post-op assessment to 3/31/2014</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8967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89673D">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E1337B"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E1337B" w:rsidP="0089673D">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89673D">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89673D">
                  <w:rPr>
                    <w:rStyle w:val="Style1"/>
                  </w:rPr>
                  <w:t>by category of annual procedure volume</w:t>
                </w:r>
              </w:sdtContent>
            </w:sdt>
          </w:p>
        </w:tc>
      </w:tr>
    </w:tbl>
    <w:p w:rsidR="000414E8" w:rsidRPr="00A25024" w:rsidRDefault="000414E8" w:rsidP="00DB3627">
      <w:pPr>
        <w:autoSpaceDE w:val="0"/>
        <w:autoSpaceDN w:val="0"/>
        <w:adjustRightInd w:val="0"/>
        <w:spacing w:after="0" w:line="240" w:lineRule="auto"/>
        <w:rPr>
          <w:rFonts w:cstheme="minorHAnsi"/>
          <w:bCs/>
        </w:rPr>
      </w:pPr>
    </w:p>
    <w:p w:rsidR="0089673D" w:rsidRDefault="002B5016" w:rsidP="0089673D">
      <w:pPr>
        <w:spacing w:after="0" w:line="240" w:lineRule="auto"/>
        <w:rPr>
          <w:rFonts w:ascii="Trebuchet MS" w:eastAsia="Times New Roman" w:hAnsi="Trebuchet MS" w:cs="Times New Roman"/>
          <w:color w:val="1F497D" w:themeColor="text2"/>
          <w:sz w:val="18"/>
          <w:szCs w:val="18"/>
          <w:lang w:val="en"/>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r w:rsidR="0089673D">
        <w:rPr>
          <w:rFonts w:ascii="Trebuchet MS" w:eastAsia="Times New Roman" w:hAnsi="Trebuchet MS" w:cs="Times New Roman"/>
          <w:color w:val="1F497D" w:themeColor="text2"/>
          <w:sz w:val="18"/>
          <w:szCs w:val="18"/>
          <w:lang w:val="en"/>
        </w:rPr>
        <w:t xml:space="preserve">25 Medical Groups/ Practices; 7 orthopedic practices and 18 multi-specialty practices with a department or division of orthopedics (e.g. HealthPartners, Mayo Clinic).  The 25 practices are further described by geographic location (5 metropolitan, 6 micropolitan, and 14 rural) and by annual volume of TKR procedures.  </w:t>
      </w:r>
    </w:p>
    <w:p w:rsidR="002E78A0" w:rsidRDefault="002E78A0" w:rsidP="00DB3627">
      <w:pPr>
        <w:autoSpaceDE w:val="0"/>
        <w:autoSpaceDN w:val="0"/>
        <w:adjustRightInd w:val="0"/>
        <w:spacing w:after="0" w:line="240" w:lineRule="auto"/>
        <w:rPr>
          <w:rFonts w:cstheme="minorHAnsi"/>
          <w:bCs/>
        </w:rPr>
      </w:pPr>
    </w:p>
    <w:p w:rsidR="0089673D" w:rsidRDefault="0089673D" w:rsidP="0089673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TKR volume &lt; 100</w:t>
      </w:r>
      <w:r>
        <w:rPr>
          <w:rFonts w:ascii="Trebuchet MS" w:eastAsia="Times New Roman" w:hAnsi="Trebuchet MS" w:cs="Times New Roman"/>
          <w:color w:val="1F497D" w:themeColor="text2"/>
          <w:sz w:val="18"/>
          <w:szCs w:val="18"/>
          <w:lang w:val="en"/>
        </w:rPr>
        <w:tab/>
      </w:r>
      <w:r>
        <w:rPr>
          <w:rFonts w:ascii="Trebuchet MS" w:eastAsia="Times New Roman" w:hAnsi="Trebuchet MS" w:cs="Times New Roman"/>
          <w:color w:val="1F497D" w:themeColor="text2"/>
          <w:sz w:val="18"/>
          <w:szCs w:val="18"/>
          <w:lang w:val="en"/>
        </w:rPr>
        <w:tab/>
        <w:t>8 practices</w:t>
      </w:r>
      <w:r>
        <w:rPr>
          <w:rFonts w:ascii="Trebuchet MS" w:eastAsia="Times New Roman" w:hAnsi="Trebuchet MS" w:cs="Times New Roman"/>
          <w:color w:val="1F497D" w:themeColor="text2"/>
          <w:sz w:val="18"/>
          <w:szCs w:val="18"/>
          <w:lang w:val="en"/>
        </w:rPr>
        <w:tab/>
        <w:t>109 patients/ procedures; primary TKR</w:t>
      </w:r>
    </w:p>
    <w:p w:rsidR="0089673D" w:rsidRDefault="0089673D" w:rsidP="0089673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TKR volume 100 to 299</w:t>
      </w:r>
      <w:r>
        <w:rPr>
          <w:rFonts w:ascii="Trebuchet MS" w:eastAsia="Times New Roman" w:hAnsi="Trebuchet MS" w:cs="Times New Roman"/>
          <w:color w:val="1F497D" w:themeColor="text2"/>
          <w:sz w:val="18"/>
          <w:szCs w:val="18"/>
          <w:lang w:val="en"/>
        </w:rPr>
        <w:tab/>
        <w:t>6 practices</w:t>
      </w:r>
      <w:r>
        <w:rPr>
          <w:rFonts w:ascii="Trebuchet MS" w:eastAsia="Times New Roman" w:hAnsi="Trebuchet MS" w:cs="Times New Roman"/>
          <w:color w:val="1F497D" w:themeColor="text2"/>
          <w:sz w:val="18"/>
          <w:szCs w:val="18"/>
          <w:lang w:val="en"/>
        </w:rPr>
        <w:tab/>
        <w:t>203 patients/ procedures; primary TKR</w:t>
      </w:r>
    </w:p>
    <w:p w:rsidR="0089673D" w:rsidRDefault="0089673D" w:rsidP="0089673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TKR volume 300 to 600</w:t>
      </w:r>
      <w:r>
        <w:rPr>
          <w:rFonts w:ascii="Trebuchet MS" w:eastAsia="Times New Roman" w:hAnsi="Trebuchet MS" w:cs="Times New Roman"/>
          <w:color w:val="1F497D" w:themeColor="text2"/>
          <w:sz w:val="18"/>
          <w:szCs w:val="18"/>
          <w:lang w:val="en"/>
        </w:rPr>
        <w:tab/>
        <w:t>3 practices</w:t>
      </w:r>
      <w:r>
        <w:rPr>
          <w:rFonts w:ascii="Trebuchet MS" w:eastAsia="Times New Roman" w:hAnsi="Trebuchet MS" w:cs="Times New Roman"/>
          <w:color w:val="1F497D" w:themeColor="text2"/>
          <w:sz w:val="18"/>
          <w:szCs w:val="18"/>
          <w:lang w:val="en"/>
        </w:rPr>
        <w:tab/>
        <w:t>858 patients/ procedures; primary TKR</w:t>
      </w:r>
    </w:p>
    <w:p w:rsidR="0089673D" w:rsidRDefault="0089673D" w:rsidP="0089673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lastRenderedPageBreak/>
        <w:t>TKR volume &gt; 600</w:t>
      </w:r>
      <w:r>
        <w:rPr>
          <w:rFonts w:ascii="Trebuchet MS" w:eastAsia="Times New Roman" w:hAnsi="Trebuchet MS" w:cs="Times New Roman"/>
          <w:color w:val="1F497D" w:themeColor="text2"/>
          <w:sz w:val="18"/>
          <w:szCs w:val="18"/>
          <w:lang w:val="en"/>
        </w:rPr>
        <w:tab/>
      </w:r>
      <w:r>
        <w:rPr>
          <w:rFonts w:ascii="Trebuchet MS" w:eastAsia="Times New Roman" w:hAnsi="Trebuchet MS" w:cs="Times New Roman"/>
          <w:color w:val="1F497D" w:themeColor="text2"/>
          <w:sz w:val="18"/>
          <w:szCs w:val="18"/>
          <w:lang w:val="en"/>
        </w:rPr>
        <w:tab/>
        <w:t>5 practices</w:t>
      </w:r>
      <w:r>
        <w:rPr>
          <w:rFonts w:ascii="Trebuchet MS" w:eastAsia="Times New Roman" w:hAnsi="Trebuchet MS" w:cs="Times New Roman"/>
          <w:color w:val="1F497D" w:themeColor="text2"/>
          <w:sz w:val="18"/>
          <w:szCs w:val="18"/>
          <w:lang w:val="en"/>
        </w:rPr>
        <w:tab/>
        <w:t>790 patients/ procedures; primary TKR</w:t>
      </w:r>
    </w:p>
    <w:p w:rsidR="0089673D" w:rsidRDefault="0089673D" w:rsidP="00DB3627">
      <w:pPr>
        <w:autoSpaceDE w:val="0"/>
        <w:autoSpaceDN w:val="0"/>
        <w:adjustRightInd w:val="0"/>
        <w:spacing w:after="0" w:line="240" w:lineRule="auto"/>
        <w:rPr>
          <w:rFonts w:cstheme="minorHAnsi"/>
          <w:bCs/>
        </w:rPr>
      </w:pPr>
    </w:p>
    <w:p w:rsidR="002B5016" w:rsidRPr="00A25024" w:rsidRDefault="002B5016" w:rsidP="00DB3627">
      <w:pPr>
        <w:autoSpaceDE w:val="0"/>
        <w:autoSpaceDN w:val="0"/>
        <w:adjustRightInd w:val="0"/>
        <w:spacing w:after="0" w:line="240" w:lineRule="auto"/>
        <w:rPr>
          <w:rFonts w:cstheme="minorHAnsi"/>
          <w:bCs/>
        </w:rPr>
      </w:pPr>
    </w:p>
    <w:p w:rsidR="0089673D" w:rsidRDefault="002B5016" w:rsidP="0089673D">
      <w:pPr>
        <w:spacing w:after="0" w:line="240" w:lineRule="auto"/>
        <w:rPr>
          <w:rFonts w:ascii="Trebuchet MS" w:eastAsia="Times New Roman" w:hAnsi="Trebuchet MS" w:cs="Times New Roman"/>
          <w:color w:val="1F497D" w:themeColor="text2"/>
          <w:sz w:val="18"/>
          <w:szCs w:val="18"/>
          <w:lang w:val="en"/>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89673D">
        <w:rPr>
          <w:rFonts w:ascii="Trebuchet MS" w:eastAsia="Times New Roman" w:hAnsi="Trebuchet MS" w:cs="Times New Roman"/>
          <w:color w:val="1F497D" w:themeColor="text2"/>
          <w:sz w:val="18"/>
          <w:szCs w:val="18"/>
          <w:lang w:val="en"/>
        </w:rPr>
        <w:t xml:space="preserve">2,044 patients/ procedures  </w:t>
      </w:r>
    </w:p>
    <w:p w:rsidR="0089673D" w:rsidRDefault="0089673D" w:rsidP="0089673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 xml:space="preserve">1,960 </w:t>
      </w:r>
      <w:proofErr w:type="gramStart"/>
      <w:r>
        <w:rPr>
          <w:rFonts w:ascii="Trebuchet MS" w:eastAsia="Times New Roman" w:hAnsi="Trebuchet MS" w:cs="Times New Roman"/>
          <w:color w:val="1F497D" w:themeColor="text2"/>
          <w:sz w:val="18"/>
          <w:szCs w:val="18"/>
          <w:lang w:val="en"/>
        </w:rPr>
        <w:t>primary</w:t>
      </w:r>
      <w:proofErr w:type="gramEnd"/>
      <w:r>
        <w:rPr>
          <w:rFonts w:ascii="Trebuchet MS" w:eastAsia="Times New Roman" w:hAnsi="Trebuchet MS" w:cs="Times New Roman"/>
          <w:color w:val="1F497D" w:themeColor="text2"/>
          <w:sz w:val="18"/>
          <w:szCs w:val="18"/>
          <w:lang w:val="en"/>
        </w:rPr>
        <w:t xml:space="preserve"> TKR</w:t>
      </w:r>
    </w:p>
    <w:p w:rsidR="0089673D" w:rsidRDefault="0089673D" w:rsidP="0089673D">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 xml:space="preserve">     84 </w:t>
      </w:r>
      <w:proofErr w:type="gramStart"/>
      <w:r>
        <w:rPr>
          <w:rFonts w:ascii="Trebuchet MS" w:eastAsia="Times New Roman" w:hAnsi="Trebuchet MS" w:cs="Times New Roman"/>
          <w:color w:val="1F497D" w:themeColor="text2"/>
          <w:sz w:val="18"/>
          <w:szCs w:val="18"/>
          <w:lang w:val="en"/>
        </w:rPr>
        <w:t>revision</w:t>
      </w:r>
      <w:proofErr w:type="gramEnd"/>
      <w:r>
        <w:rPr>
          <w:rFonts w:ascii="Trebuchet MS" w:eastAsia="Times New Roman" w:hAnsi="Trebuchet MS" w:cs="Times New Roman"/>
          <w:color w:val="1F497D" w:themeColor="text2"/>
          <w:sz w:val="18"/>
          <w:szCs w:val="18"/>
          <w:lang w:val="en"/>
        </w:rPr>
        <w:t xml:space="preserve"> TKR</w:t>
      </w:r>
    </w:p>
    <w:p w:rsidR="007422FD" w:rsidRDefault="007422FD" w:rsidP="00DB3627">
      <w:pPr>
        <w:autoSpaceDE w:val="0"/>
        <w:autoSpaceDN w:val="0"/>
        <w:adjustRightInd w:val="0"/>
        <w:spacing w:after="0" w:line="240" w:lineRule="auto"/>
        <w:rPr>
          <w:rFonts w:cstheme="minorHAnsi"/>
          <w:bCs/>
        </w:rPr>
      </w:pP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8967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746FFF" w:rsidRDefault="00746FFF" w:rsidP="00746FFF">
      <w:pPr>
        <w:spacing w:after="0" w:line="240" w:lineRule="auto"/>
        <w:rPr>
          <w:rFonts w:ascii="Trebuchet MS" w:eastAsia="Times New Roman" w:hAnsi="Trebuchet MS" w:cs="Times New Roman"/>
          <w:color w:val="1F497D" w:themeColor="text2"/>
          <w:sz w:val="18"/>
          <w:szCs w:val="18"/>
          <w:lang w:val="en"/>
        </w:rPr>
      </w:pPr>
      <w:r w:rsidRPr="007B1359">
        <w:rPr>
          <w:rFonts w:ascii="Trebuchet MS" w:eastAsia="Times New Roman" w:hAnsi="Trebuchet MS" w:cs="Times New Roman"/>
          <w:color w:val="1F497D" w:themeColor="text2"/>
          <w:sz w:val="18"/>
          <w:szCs w:val="18"/>
          <w:lang w:val="en"/>
        </w:rPr>
        <w:t xml:space="preserve">Denominator certification prior to data collection is a key process for insuring that all practices are including the correct patients for rate calculation.  For the </w:t>
      </w:r>
      <w:r>
        <w:rPr>
          <w:rFonts w:ascii="Trebuchet MS" w:eastAsia="Times New Roman" w:hAnsi="Trebuchet MS" w:cs="Times New Roman"/>
          <w:color w:val="1F497D" w:themeColor="text2"/>
          <w:sz w:val="18"/>
          <w:szCs w:val="18"/>
          <w:lang w:val="en"/>
        </w:rPr>
        <w:t xml:space="preserve">total knee replacement </w:t>
      </w:r>
      <w:r w:rsidRPr="007B1359">
        <w:rPr>
          <w:rFonts w:ascii="Trebuchet MS" w:eastAsia="Times New Roman" w:hAnsi="Trebuchet MS" w:cs="Times New Roman"/>
          <w:color w:val="1F497D" w:themeColor="text2"/>
          <w:sz w:val="18"/>
          <w:szCs w:val="18"/>
          <w:lang w:val="en"/>
        </w:rPr>
        <w:t>measure set, the main elements for assessment include the correct use of CPT codes and that all patients are included, not just those with completed pre-operative a</w:t>
      </w:r>
      <w:r>
        <w:rPr>
          <w:rFonts w:ascii="Trebuchet MS" w:eastAsia="Times New Roman" w:hAnsi="Trebuchet MS" w:cs="Times New Roman"/>
          <w:color w:val="1F497D" w:themeColor="text2"/>
          <w:sz w:val="18"/>
          <w:szCs w:val="18"/>
          <w:lang w:val="en"/>
        </w:rPr>
        <w:t>nd post-operative assessments.</w:t>
      </w:r>
    </w:p>
    <w:p w:rsidR="00746FFF" w:rsidRPr="007B1359" w:rsidRDefault="00746FFF" w:rsidP="00746FFF">
      <w:pPr>
        <w:spacing w:after="0" w:line="240" w:lineRule="auto"/>
        <w:rPr>
          <w:rFonts w:ascii="Trebuchet MS" w:eastAsia="Times New Roman" w:hAnsi="Trebuchet MS" w:cs="Times New Roman"/>
          <w:color w:val="1F497D" w:themeColor="text2"/>
          <w:sz w:val="18"/>
          <w:szCs w:val="18"/>
          <w:lang w:val="en"/>
        </w:rPr>
      </w:pPr>
    </w:p>
    <w:p w:rsidR="00746FFF" w:rsidRDefault="00746FFF" w:rsidP="00746FFF">
      <w:pPr>
        <w:spacing w:after="0" w:line="240" w:lineRule="auto"/>
        <w:rPr>
          <w:rFonts w:ascii="Trebuchet MS" w:eastAsia="Times New Roman" w:hAnsi="Trebuchet MS" w:cs="Times New Roman"/>
          <w:color w:val="1F497D" w:themeColor="text2"/>
          <w:sz w:val="18"/>
          <w:szCs w:val="18"/>
          <w:lang w:val="en"/>
        </w:rPr>
      </w:pPr>
      <w:r w:rsidRPr="007B1359">
        <w:rPr>
          <w:rFonts w:ascii="Trebuchet MS" w:eastAsia="Times New Roman" w:hAnsi="Trebuchet MS" w:cs="Times New Roman"/>
          <w:color w:val="1F497D" w:themeColor="text2"/>
          <w:sz w:val="18"/>
          <w:szCs w:val="18"/>
          <w:lang w:val="en"/>
        </w:rPr>
        <w:t xml:space="preserve">A validation audit is then conducted with each group on a random sample of patients submitted.  The purpose of validation is to assure that the information submitted is a match between what is contained in the medical record.  During the pilot phase, this is an opportunity for education.  </w:t>
      </w:r>
    </w:p>
    <w:p w:rsidR="00746FFF" w:rsidRDefault="00746FFF" w:rsidP="00746FFF">
      <w:pPr>
        <w:spacing w:after="0" w:line="240" w:lineRule="auto"/>
        <w:rPr>
          <w:rFonts w:ascii="Trebuchet MS" w:eastAsia="Times New Roman" w:hAnsi="Trebuchet MS" w:cs="Times New Roman"/>
          <w:color w:val="1F497D" w:themeColor="text2"/>
          <w:sz w:val="18"/>
          <w:szCs w:val="18"/>
          <w:lang w:val="en"/>
        </w:rPr>
      </w:pPr>
    </w:p>
    <w:p w:rsidR="005D63AF" w:rsidRDefault="00746FFF" w:rsidP="00746FFF">
      <w:pPr>
        <w:pStyle w:val="ListParagraph"/>
        <w:numPr>
          <w:ilvl w:val="0"/>
          <w:numId w:val="27"/>
        </w:numPr>
        <w:spacing w:after="0" w:line="240" w:lineRule="auto"/>
        <w:rPr>
          <w:rFonts w:ascii="Trebuchet MS" w:eastAsia="Times New Roman" w:hAnsi="Trebuchet MS" w:cs="Times New Roman"/>
          <w:color w:val="1F497D" w:themeColor="text2"/>
          <w:sz w:val="18"/>
          <w:szCs w:val="18"/>
          <w:lang w:val="en"/>
        </w:rPr>
      </w:pPr>
      <w:r w:rsidRPr="005D63AF">
        <w:rPr>
          <w:rFonts w:ascii="Trebuchet MS" w:eastAsia="Times New Roman" w:hAnsi="Trebuchet MS" w:cs="Times New Roman"/>
          <w:color w:val="1F497D" w:themeColor="text2"/>
          <w:sz w:val="18"/>
          <w:szCs w:val="18"/>
          <w:lang w:val="en"/>
        </w:rPr>
        <w:t>Some groups needed to correct their query code</w:t>
      </w:r>
      <w:r w:rsidR="005D63AF">
        <w:rPr>
          <w:rFonts w:ascii="Trebuchet MS" w:eastAsia="Times New Roman" w:hAnsi="Trebuchet MS" w:cs="Times New Roman"/>
          <w:color w:val="1F497D" w:themeColor="text2"/>
          <w:sz w:val="18"/>
          <w:szCs w:val="18"/>
          <w:lang w:val="en"/>
        </w:rPr>
        <w:t xml:space="preserve"> to for birthdate ranges and </w:t>
      </w:r>
      <w:r w:rsidRPr="005D63AF">
        <w:rPr>
          <w:rFonts w:ascii="Trebuchet MS" w:eastAsia="Times New Roman" w:hAnsi="Trebuchet MS" w:cs="Times New Roman"/>
          <w:color w:val="1F497D" w:themeColor="text2"/>
          <w:sz w:val="18"/>
          <w:szCs w:val="18"/>
          <w:lang w:val="en"/>
        </w:rPr>
        <w:t>for i</w:t>
      </w:r>
      <w:r w:rsidR="005D63AF">
        <w:rPr>
          <w:rFonts w:ascii="Trebuchet MS" w:eastAsia="Times New Roman" w:hAnsi="Trebuchet MS" w:cs="Times New Roman"/>
          <w:color w:val="1F497D" w:themeColor="text2"/>
          <w:sz w:val="18"/>
          <w:szCs w:val="18"/>
          <w:lang w:val="en"/>
        </w:rPr>
        <w:t>nclusion of all the correct CPT procedure codes.</w:t>
      </w:r>
    </w:p>
    <w:p w:rsidR="005D63AF" w:rsidRDefault="005D63AF" w:rsidP="00746FFF">
      <w:pPr>
        <w:pStyle w:val="ListParagraph"/>
        <w:numPr>
          <w:ilvl w:val="0"/>
          <w:numId w:val="27"/>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Validation audit for this brand new measure demonstrated that 60 % of the practices passed their validation audit with no need for a corrective plan; 40% groups needed to make corrections to their submission and following re-submission all practices passed audit at 90% agreement</w:t>
      </w:r>
      <w:r w:rsidR="00C045E7">
        <w:rPr>
          <w:rFonts w:ascii="Trebuchet MS" w:eastAsia="Times New Roman" w:hAnsi="Trebuchet MS" w:cs="Times New Roman"/>
          <w:color w:val="1F497D" w:themeColor="text2"/>
          <w:sz w:val="18"/>
          <w:szCs w:val="18"/>
          <w:lang w:val="en"/>
        </w:rPr>
        <w:t xml:space="preserve"> between submitted data and the medical record.</w:t>
      </w:r>
    </w:p>
    <w:p w:rsidR="00746FFF" w:rsidRPr="00C045E7" w:rsidRDefault="00C045E7" w:rsidP="00C045E7">
      <w:pPr>
        <w:pStyle w:val="ListParagraph"/>
        <w:numPr>
          <w:ilvl w:val="0"/>
          <w:numId w:val="27"/>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 xml:space="preserve">Error types included incorrect OKS summary score (5), incorrect tobacco status (2), tobacco status not pre-op (2), height and weight not pre-op (3), height and weight value (1), diabetes diagnosis (3), procedure date (2), and procedure type (2). </w:t>
      </w:r>
    </w:p>
    <w:p w:rsidR="008C54A9" w:rsidRPr="00A25024" w:rsidRDefault="008C54A9" w:rsidP="008C54A9">
      <w:pPr>
        <w:autoSpaceDE w:val="0"/>
        <w:autoSpaceDN w:val="0"/>
        <w:adjustRightInd w:val="0"/>
        <w:spacing w:after="0" w:line="240" w:lineRule="auto"/>
        <w:rPr>
          <w:rFonts w:cstheme="minorHAnsi"/>
          <w:bCs/>
        </w:rPr>
      </w:pPr>
    </w:p>
    <w:p w:rsidR="00C045E7"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r w:rsidRPr="00E716A3">
        <w:rPr>
          <w:rFonts w:ascii="Trebuchet MS" w:eastAsia="Times New Roman" w:hAnsi="Trebuchet MS" w:cs="Times New Roman"/>
          <w:color w:val="1F497D" w:themeColor="text2"/>
          <w:sz w:val="18"/>
          <w:szCs w:val="18"/>
          <w:lang w:val="en"/>
        </w:rPr>
        <w:t>Reliability/ Validity of the PROM</w:t>
      </w:r>
      <w:r>
        <w:rPr>
          <w:rFonts w:ascii="Trebuchet MS" w:eastAsia="Times New Roman" w:hAnsi="Trebuchet MS" w:cs="Times New Roman"/>
          <w:color w:val="1F497D" w:themeColor="text2"/>
          <w:sz w:val="18"/>
          <w:szCs w:val="18"/>
          <w:lang w:val="en"/>
        </w:rPr>
        <w:t>- Oxford Knee Score Version 1.0</w:t>
      </w: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lastRenderedPageBreak/>
        <w:t>Internal consistency: Cronbach’s alpha for the study questionnaire was 0.87 before the operation (n=117) and 0.93 at the six-month follow-up (n=85). All but three items correlated with the total score at r≥0.53 (items 6, 8 and 10 r≥0.45) at the preoperative assessment (Table 1). After surgery all 12 items correlated with the total score at r≥0.51. Cronbach’s alpha was not markedly improved by removal of any item from the score.</w:t>
      </w:r>
      <w:r>
        <w:rPr>
          <w:rFonts w:ascii="Trebuchet MS" w:eastAsia="Times New Roman" w:hAnsi="Trebuchet MS" w:cs="Times New Roman"/>
          <w:color w:val="1F497D" w:themeColor="text2"/>
          <w:sz w:val="18"/>
          <w:szCs w:val="18"/>
          <w:lang w:val="en"/>
        </w:rPr>
        <w:t xml:space="preserve"> </w:t>
      </w:r>
      <w:r w:rsidRPr="00A26CA3">
        <w:rPr>
          <w:rFonts w:ascii="Trebuchet MS" w:eastAsia="Times New Roman" w:hAnsi="Trebuchet MS" w:cs="Times New Roman"/>
          <w:color w:val="1F497D" w:themeColor="text2"/>
          <w:sz w:val="18"/>
          <w:szCs w:val="18"/>
          <w:lang w:val="en"/>
        </w:rPr>
        <w:t xml:space="preserve">(Dawson et al, 1998). </w:t>
      </w:r>
      <w:r>
        <w:rPr>
          <w:rFonts w:ascii="Trebuchet MS" w:eastAsia="Times New Roman" w:hAnsi="Trebuchet MS" w:cs="Times New Roman"/>
          <w:color w:val="1F497D" w:themeColor="text2"/>
          <w:sz w:val="18"/>
          <w:szCs w:val="18"/>
          <w:lang w:val="en"/>
        </w:rPr>
        <w:t xml:space="preserve"> </w:t>
      </w: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t>Reproducibility: In the test-retest sample, the correlation (r=0.92) between the total scores for the questionnaire was high (p&lt;0.0001). No significant change occurred in the distribution of scores between the two assessments for reliability (paired t-test &gt;0.05).</w:t>
      </w:r>
      <w:r>
        <w:rPr>
          <w:rFonts w:ascii="Trebuchet MS" w:eastAsia="Times New Roman" w:hAnsi="Trebuchet MS" w:cs="Times New Roman"/>
          <w:color w:val="1F497D" w:themeColor="text2"/>
          <w:sz w:val="18"/>
          <w:szCs w:val="18"/>
          <w:lang w:val="en"/>
        </w:rPr>
        <w:t xml:space="preserve"> </w:t>
      </w:r>
      <w:r w:rsidRPr="00A26CA3">
        <w:rPr>
          <w:rFonts w:ascii="Trebuchet MS" w:eastAsia="Times New Roman" w:hAnsi="Trebuchet MS" w:cs="Times New Roman"/>
          <w:color w:val="1F497D" w:themeColor="text2"/>
          <w:sz w:val="18"/>
          <w:szCs w:val="18"/>
          <w:lang w:val="en"/>
        </w:rPr>
        <w:t xml:space="preserve">(Dawson et al, 1998). </w:t>
      </w:r>
      <w:r>
        <w:rPr>
          <w:rFonts w:ascii="Trebuchet MS" w:eastAsia="Times New Roman" w:hAnsi="Trebuchet MS" w:cs="Times New Roman"/>
          <w:color w:val="1F497D" w:themeColor="text2"/>
          <w:sz w:val="18"/>
          <w:szCs w:val="18"/>
          <w:lang w:val="en"/>
        </w:rPr>
        <w:t xml:space="preserve"> </w:t>
      </w: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t>Construct validity: The study questionnaire correlated moderately with both components of the AKS clinical scores before operation (Table 2). There was also significant agreement (r&gt;0.5 to r=0.71, p&lt;0.01) between the OKS questionnaire and relevant domains of the SF 36 (physical function, role physical, pain and social function), and with both components of the HAQ, (pain VAS and the disability index).</w:t>
      </w:r>
      <w:r>
        <w:rPr>
          <w:rFonts w:ascii="Trebuchet MS" w:eastAsia="Times New Roman" w:hAnsi="Trebuchet MS" w:cs="Times New Roman"/>
          <w:color w:val="1F497D" w:themeColor="text2"/>
          <w:sz w:val="18"/>
          <w:szCs w:val="18"/>
          <w:lang w:val="en"/>
        </w:rPr>
        <w:t xml:space="preserve"> </w:t>
      </w:r>
      <w:r w:rsidRPr="00A26CA3">
        <w:rPr>
          <w:rFonts w:ascii="Trebuchet MS" w:eastAsia="Times New Roman" w:hAnsi="Trebuchet MS" w:cs="Times New Roman"/>
          <w:color w:val="1F497D" w:themeColor="text2"/>
          <w:sz w:val="18"/>
          <w:szCs w:val="18"/>
          <w:lang w:val="en"/>
        </w:rPr>
        <w:t xml:space="preserve">(Dawson et al, 1998). </w:t>
      </w:r>
      <w:r>
        <w:rPr>
          <w:rFonts w:ascii="Trebuchet MS" w:eastAsia="Times New Roman" w:hAnsi="Trebuchet MS" w:cs="Times New Roman"/>
          <w:color w:val="1F497D" w:themeColor="text2"/>
          <w:sz w:val="18"/>
          <w:szCs w:val="18"/>
          <w:lang w:val="en"/>
        </w:rPr>
        <w:t xml:space="preserve"> </w:t>
      </w: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p>
    <w:p w:rsidR="003A7F86" w:rsidRPr="0076283C" w:rsidRDefault="003A7F86" w:rsidP="003A7F86">
      <w:pPr>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t>Sensitivity to change: Patients reported a substantial improvement at the six-month follow-up assessment. The effect size (2.19) was larger for the OKS questionnaire than for any of the individual subscales of the SF-36 questionnaire (Table 3), indicating that it could be particularly sensitive to improvements obtained by TKR. The change scores for the TKR questionnaire were significantly greater (p&lt;0.0001) for patients who reported the most improvement in their condition.</w:t>
      </w:r>
      <w:r>
        <w:rPr>
          <w:rFonts w:ascii="Trebuchet MS" w:eastAsia="Times New Roman" w:hAnsi="Trebuchet MS" w:cs="Times New Roman"/>
          <w:color w:val="1F497D" w:themeColor="text2"/>
          <w:sz w:val="18"/>
          <w:szCs w:val="18"/>
          <w:lang w:val="en"/>
        </w:rPr>
        <w:t xml:space="preserve"> </w:t>
      </w:r>
      <w:r w:rsidRPr="00A26CA3">
        <w:rPr>
          <w:rFonts w:ascii="Trebuchet MS" w:eastAsia="Times New Roman" w:hAnsi="Trebuchet MS" w:cs="Times New Roman"/>
          <w:color w:val="1F497D" w:themeColor="text2"/>
          <w:sz w:val="18"/>
          <w:szCs w:val="18"/>
          <w:lang w:val="en"/>
        </w:rPr>
        <w:t xml:space="preserve">(Dawson et al, 1998). </w:t>
      </w:r>
      <w:r>
        <w:rPr>
          <w:rFonts w:ascii="Trebuchet MS" w:eastAsia="Times New Roman" w:hAnsi="Trebuchet MS" w:cs="Times New Roman"/>
          <w:color w:val="1F497D" w:themeColor="text2"/>
          <w:sz w:val="18"/>
          <w:szCs w:val="18"/>
          <w:lang w:val="en"/>
        </w:rPr>
        <w:t xml:space="preserve"> </w:t>
      </w: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r w:rsidRPr="00E716A3">
        <w:rPr>
          <w:rFonts w:ascii="Trebuchet MS" w:eastAsia="Times New Roman" w:hAnsi="Trebuchet MS" w:cs="Times New Roman"/>
          <w:color w:val="1F497D" w:themeColor="text2"/>
          <w:sz w:val="18"/>
          <w:szCs w:val="18"/>
          <w:lang w:val="en"/>
        </w:rPr>
        <w:t>Reliability of the PROM-PM:</w:t>
      </w:r>
    </w:p>
    <w:p w:rsidR="003A7F86" w:rsidRDefault="003A7F86" w:rsidP="003A7F86">
      <w:pPr>
        <w:spacing w:after="0" w:line="240" w:lineRule="auto"/>
        <w:rPr>
          <w:rFonts w:ascii="Trebuchet MS" w:eastAsia="Times New Roman" w:hAnsi="Trebuchet MS" w:cs="Times New Roman"/>
          <w:color w:val="1F497D" w:themeColor="text2"/>
          <w:sz w:val="18"/>
          <w:szCs w:val="18"/>
          <w:lang w:val="en"/>
        </w:rPr>
      </w:pPr>
      <w:r w:rsidRPr="00E716A3">
        <w:rPr>
          <w:rFonts w:ascii="Trebuchet MS" w:eastAsia="Times New Roman" w:hAnsi="Trebuchet MS" w:cs="Times New Roman"/>
          <w:color w:val="1F497D" w:themeColor="text2"/>
          <w:sz w:val="18"/>
          <w:szCs w:val="18"/>
          <w:lang w:val="en"/>
        </w:rPr>
        <w:t>No statistical reliability</w:t>
      </w:r>
      <w:r>
        <w:rPr>
          <w:rFonts w:ascii="Trebuchet MS" w:eastAsia="Times New Roman" w:hAnsi="Trebuchet MS" w:cs="Times New Roman"/>
          <w:color w:val="1F497D" w:themeColor="text2"/>
          <w:sz w:val="18"/>
          <w:szCs w:val="18"/>
          <w:lang w:val="en"/>
        </w:rPr>
        <w:t xml:space="preserve"> tests performed on this pilot data. Barriers to PRO tool administration were identified during pilot testing and an interim plan is in place to increase PRO administration rates.  Reliability testing (</w:t>
      </w:r>
      <w:r w:rsidRPr="00E716A3">
        <w:rPr>
          <w:rFonts w:ascii="Trebuchet MS" w:eastAsia="Times New Roman" w:hAnsi="Trebuchet MS" w:cs="Times New Roman"/>
          <w:color w:val="1F497D" w:themeColor="text2"/>
          <w:sz w:val="18"/>
          <w:szCs w:val="18"/>
          <w:lang w:val="en"/>
        </w:rPr>
        <w:t xml:space="preserve">BETABIN </w:t>
      </w:r>
      <w:r>
        <w:rPr>
          <w:rFonts w:ascii="Trebuchet MS" w:eastAsia="Times New Roman" w:hAnsi="Trebuchet MS" w:cs="Times New Roman"/>
          <w:color w:val="1F497D" w:themeColor="text2"/>
          <w:sz w:val="18"/>
          <w:szCs w:val="18"/>
          <w:lang w:val="en"/>
        </w:rPr>
        <w:t xml:space="preserve">macro in </w:t>
      </w:r>
      <w:r w:rsidRPr="00E716A3">
        <w:rPr>
          <w:rFonts w:ascii="Trebuchet MS" w:eastAsia="Times New Roman" w:hAnsi="Trebuchet MS" w:cs="Times New Roman"/>
          <w:color w:val="1F497D" w:themeColor="text2"/>
          <w:sz w:val="18"/>
          <w:szCs w:val="18"/>
          <w:lang w:val="en"/>
        </w:rPr>
        <w:t>SAS)</w:t>
      </w:r>
      <w:r>
        <w:rPr>
          <w:rFonts w:ascii="Trebuchet MS" w:eastAsia="Times New Roman" w:hAnsi="Trebuchet MS" w:cs="Times New Roman"/>
          <w:color w:val="1F497D" w:themeColor="text2"/>
          <w:sz w:val="18"/>
          <w:szCs w:val="18"/>
          <w:lang w:val="en"/>
        </w:rPr>
        <w:t xml:space="preserve"> will occur in mid-2016.</w:t>
      </w:r>
    </w:p>
    <w:p w:rsidR="007422FD" w:rsidRPr="00A25024" w:rsidRDefault="007422FD" w:rsidP="008C54A9">
      <w:pPr>
        <w:autoSpaceDE w:val="0"/>
        <w:autoSpaceDN w:val="0"/>
        <w:adjustRightInd w:val="0"/>
        <w:spacing w:after="0" w:line="240" w:lineRule="auto"/>
        <w:rPr>
          <w:rFonts w:cstheme="minorHAnsi"/>
          <w:bCs/>
        </w:rPr>
      </w:pPr>
    </w:p>
    <w:p w:rsidR="001D5B91"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rsidR="00FA6265" w:rsidRDefault="00A83A5B" w:rsidP="00DB3627">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 xml:space="preserve">PROM- </w:t>
      </w:r>
      <w:proofErr w:type="gramStart"/>
      <w:r w:rsidR="001D5B91">
        <w:rPr>
          <w:rFonts w:ascii="Trebuchet MS" w:eastAsia="Times New Roman" w:hAnsi="Trebuchet MS" w:cs="Times New Roman"/>
          <w:color w:val="1F497D" w:themeColor="text2"/>
          <w:sz w:val="18"/>
          <w:szCs w:val="18"/>
          <w:lang w:val="en"/>
        </w:rPr>
        <w:t>The</w:t>
      </w:r>
      <w:proofErr w:type="gramEnd"/>
      <w:r w:rsidR="001D5B91">
        <w:rPr>
          <w:rFonts w:ascii="Trebuchet MS" w:eastAsia="Times New Roman" w:hAnsi="Trebuchet MS" w:cs="Times New Roman"/>
          <w:color w:val="1F497D" w:themeColor="text2"/>
          <w:sz w:val="18"/>
          <w:szCs w:val="18"/>
          <w:lang w:val="en"/>
        </w:rPr>
        <w:t xml:space="preserve"> Oxford Knee Score tool, developed and validated to specifically assess function and pain in patients undergoing total knee replacement, has strong psychometric properties, is short, reproducible, valid and is sen</w:t>
      </w:r>
      <w:r w:rsidR="00FA6265">
        <w:rPr>
          <w:rFonts w:ascii="Trebuchet MS" w:eastAsia="Times New Roman" w:hAnsi="Trebuchet MS" w:cs="Times New Roman"/>
          <w:color w:val="1F497D" w:themeColor="text2"/>
          <w:sz w:val="18"/>
          <w:szCs w:val="18"/>
          <w:lang w:val="en"/>
        </w:rPr>
        <w:t>si</w:t>
      </w:r>
      <w:r w:rsidR="001D5B91">
        <w:rPr>
          <w:rFonts w:ascii="Trebuchet MS" w:eastAsia="Times New Roman" w:hAnsi="Trebuchet MS" w:cs="Times New Roman"/>
          <w:color w:val="1F497D" w:themeColor="text2"/>
          <w:sz w:val="18"/>
          <w:szCs w:val="18"/>
          <w:lang w:val="en"/>
        </w:rPr>
        <w:t>tive to clinically important changes.</w:t>
      </w:r>
    </w:p>
    <w:p w:rsidR="00FA6265" w:rsidRDefault="00FA6265" w:rsidP="00DB3627">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p>
    <w:p w:rsidR="00FA6265" w:rsidRPr="007F4740" w:rsidRDefault="00A83A5B" w:rsidP="00FA6265">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 xml:space="preserve">PROM-PM </w:t>
      </w:r>
      <w:r w:rsidR="00FA6265" w:rsidRPr="007F4740">
        <w:rPr>
          <w:rFonts w:ascii="Trebuchet MS" w:eastAsia="Times New Roman" w:hAnsi="Trebuchet MS" w:cs="Times New Roman"/>
          <w:color w:val="1F497D" w:themeColor="text2"/>
          <w:sz w:val="18"/>
          <w:szCs w:val="18"/>
          <w:lang w:val="en"/>
        </w:rPr>
        <w:t>Future Considerations</w:t>
      </w:r>
      <w:r w:rsidR="00FA6265">
        <w:rPr>
          <w:rFonts w:ascii="Trebuchet MS" w:eastAsia="Times New Roman" w:hAnsi="Trebuchet MS" w:cs="Times New Roman"/>
          <w:color w:val="1F497D" w:themeColor="text2"/>
          <w:sz w:val="18"/>
          <w:szCs w:val="18"/>
          <w:lang w:val="en"/>
        </w:rPr>
        <w:t>:</w:t>
      </w:r>
    </w:p>
    <w:p w:rsidR="00FA6265" w:rsidRPr="007F4740" w:rsidRDefault="00FA6265" w:rsidP="00FA6265">
      <w:pPr>
        <w:spacing w:after="0" w:line="240" w:lineRule="auto"/>
        <w:rPr>
          <w:rFonts w:ascii="Trebuchet MS" w:eastAsia="Times New Roman" w:hAnsi="Trebuchet MS" w:cs="Times New Roman"/>
          <w:color w:val="1F497D" w:themeColor="text2"/>
          <w:sz w:val="18"/>
          <w:szCs w:val="18"/>
          <w:lang w:val="en"/>
        </w:rPr>
      </w:pPr>
      <w:r w:rsidRPr="007F4740">
        <w:rPr>
          <w:rFonts w:ascii="Trebuchet MS" w:eastAsia="Times New Roman" w:hAnsi="Trebuchet MS" w:cs="Times New Roman"/>
          <w:color w:val="1F497D" w:themeColor="text2"/>
          <w:sz w:val="18"/>
          <w:szCs w:val="18"/>
          <w:lang w:val="en"/>
        </w:rPr>
        <w:t xml:space="preserve">Evaluate rates of pre-operative and post-operative PRO administration to determine suitability of outcome measures for public reporting as denominator for calculating average change depends on tool administration to patients.  Ideally, a fairly high pre-operative rate is expected and a target goal of 70% post-operative capture. </w:t>
      </w:r>
    </w:p>
    <w:p w:rsidR="007422FD" w:rsidRPr="00A84A53" w:rsidRDefault="00FA6265" w:rsidP="00A84A53">
      <w:pPr>
        <w:spacing w:after="0" w:line="240" w:lineRule="auto"/>
        <w:rPr>
          <w:rFonts w:ascii="Trebuchet MS" w:eastAsia="Times New Roman" w:hAnsi="Trebuchet MS" w:cs="Times New Roman"/>
          <w:color w:val="1F497D" w:themeColor="text2"/>
          <w:sz w:val="18"/>
          <w:szCs w:val="18"/>
          <w:lang w:val="en"/>
        </w:rPr>
      </w:pPr>
      <w:r w:rsidRPr="00FA6265">
        <w:rPr>
          <w:rFonts w:ascii="Trebuchet MS" w:eastAsia="Times New Roman" w:hAnsi="Trebuchet MS" w:cs="Times New Roman"/>
          <w:color w:val="1F497D" w:themeColor="text2"/>
          <w:sz w:val="18"/>
          <w:szCs w:val="18"/>
          <w:lang w:val="en"/>
        </w:rPr>
        <w:t>Measure development work group</w:t>
      </w:r>
      <w:r>
        <w:rPr>
          <w:rFonts w:ascii="Trebuchet MS" w:eastAsia="Times New Roman" w:hAnsi="Trebuchet MS" w:cs="Times New Roman"/>
          <w:color w:val="1F497D" w:themeColor="text2"/>
          <w:sz w:val="18"/>
          <w:szCs w:val="18"/>
          <w:lang w:val="en"/>
        </w:rPr>
        <w:t xml:space="preserve"> recommended a</w:t>
      </w:r>
      <w:r w:rsidR="00A84A53">
        <w:rPr>
          <w:rFonts w:ascii="Trebuchet MS" w:eastAsia="Times New Roman" w:hAnsi="Trebuchet MS" w:cs="Times New Roman"/>
          <w:color w:val="1F497D" w:themeColor="text2"/>
          <w:sz w:val="18"/>
          <w:szCs w:val="18"/>
          <w:lang w:val="en"/>
        </w:rPr>
        <w:t>n interim</w:t>
      </w:r>
      <w:r>
        <w:rPr>
          <w:rFonts w:ascii="Trebuchet MS" w:eastAsia="Times New Roman" w:hAnsi="Trebuchet MS" w:cs="Times New Roman"/>
          <w:color w:val="1F497D" w:themeColor="text2"/>
          <w:sz w:val="18"/>
          <w:szCs w:val="18"/>
          <w:lang w:val="en"/>
        </w:rPr>
        <w:t xml:space="preserve"> plan to increas</w:t>
      </w:r>
      <w:r w:rsidR="00A84A53">
        <w:rPr>
          <w:rFonts w:ascii="Trebuchet MS" w:eastAsia="Times New Roman" w:hAnsi="Trebuchet MS" w:cs="Times New Roman"/>
          <w:color w:val="1F497D" w:themeColor="text2"/>
          <w:sz w:val="18"/>
          <w:szCs w:val="18"/>
          <w:lang w:val="en"/>
        </w:rPr>
        <w:t>e PRO tool administration rates and this plan was approved by the MNCM Measurement and Reporting Committee and the Board of Directors in September/ October 2014.</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38779A">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E1337B"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E1337B"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150C65" w:rsidRDefault="00092566" w:rsidP="00150C65">
      <w:pPr>
        <w:spacing w:after="0" w:line="240" w:lineRule="auto"/>
        <w:rPr>
          <w:rFonts w:ascii="Trebuchet MS" w:eastAsia="Times New Roman" w:hAnsi="Trebuchet MS" w:cs="Times New Roman"/>
          <w:color w:val="1F497D" w:themeColor="text2"/>
          <w:sz w:val="18"/>
          <w:szCs w:val="18"/>
          <w:lang w:val="en"/>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150C65" w:rsidRPr="00E716A3">
        <w:rPr>
          <w:rFonts w:ascii="Trebuchet MS" w:eastAsia="Times New Roman" w:hAnsi="Trebuchet MS" w:cs="Times New Roman"/>
          <w:color w:val="1F497D" w:themeColor="text2"/>
          <w:sz w:val="18"/>
          <w:szCs w:val="18"/>
          <w:lang w:val="en"/>
        </w:rPr>
        <w:t>Reliability/ Validity of the PROM</w:t>
      </w:r>
      <w:r w:rsidR="00150C65">
        <w:rPr>
          <w:rFonts w:ascii="Trebuchet MS" w:eastAsia="Times New Roman" w:hAnsi="Trebuchet MS" w:cs="Times New Roman"/>
          <w:color w:val="1F497D" w:themeColor="text2"/>
          <w:sz w:val="18"/>
          <w:szCs w:val="18"/>
          <w:lang w:val="en"/>
        </w:rPr>
        <w:t>- Oxford Knee Score Version 1.0</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t xml:space="preserve">Internal consistency: Cronbach’s alpha for the study questionnaire was 0.87 before the operation (n=117) and 0.93 at the six-month follow-up (n=85). All but three items correlated with the total score at r≥0.53 (items 6, 8 and 10 </w:t>
      </w:r>
      <w:r w:rsidRPr="0076283C">
        <w:rPr>
          <w:rFonts w:ascii="Trebuchet MS" w:eastAsia="Times New Roman" w:hAnsi="Trebuchet MS" w:cs="Times New Roman"/>
          <w:color w:val="1F497D" w:themeColor="text2"/>
          <w:sz w:val="18"/>
          <w:szCs w:val="18"/>
          <w:lang w:val="en"/>
        </w:rPr>
        <w:lastRenderedPageBreak/>
        <w:t>r≥0.45) at the preoperative assessment (Table 1). After surgery all 12 items correlated with the total score at r≥0.51. Cronbach’s alpha was not markedly improved by removal of any item from the score.</w:t>
      </w:r>
      <w:r>
        <w:rPr>
          <w:rFonts w:ascii="Trebuchet MS" w:eastAsia="Times New Roman" w:hAnsi="Trebuchet MS" w:cs="Times New Roman"/>
          <w:color w:val="1F497D" w:themeColor="text2"/>
          <w:sz w:val="18"/>
          <w:szCs w:val="18"/>
          <w:lang w:val="en"/>
        </w:rPr>
        <w:t xml:space="preserve"> </w:t>
      </w:r>
      <w:proofErr w:type="gramStart"/>
      <w:r w:rsidRPr="00A26CA3">
        <w:rPr>
          <w:rFonts w:ascii="Trebuchet MS" w:eastAsia="Times New Roman" w:hAnsi="Trebuchet MS" w:cs="Times New Roman"/>
          <w:color w:val="1F497D" w:themeColor="text2"/>
          <w:sz w:val="18"/>
          <w:szCs w:val="18"/>
          <w:lang w:val="en"/>
        </w:rPr>
        <w:t>(Dawson et al, 1998).</w:t>
      </w:r>
      <w:proofErr w:type="gramEnd"/>
      <w:r w:rsidRPr="00A26CA3">
        <w:rPr>
          <w:rFonts w:ascii="Trebuchet MS" w:eastAsia="Times New Roman" w:hAnsi="Trebuchet MS" w:cs="Times New Roman"/>
          <w:color w:val="1F497D" w:themeColor="text2"/>
          <w:sz w:val="18"/>
          <w:szCs w:val="18"/>
          <w:lang w:val="en"/>
        </w:rPr>
        <w:t xml:space="preserve"> </w:t>
      </w:r>
      <w:r>
        <w:rPr>
          <w:rFonts w:ascii="Trebuchet MS" w:eastAsia="Times New Roman" w:hAnsi="Trebuchet MS" w:cs="Times New Roman"/>
          <w:color w:val="1F497D" w:themeColor="text2"/>
          <w:sz w:val="18"/>
          <w:szCs w:val="18"/>
          <w:lang w:val="en"/>
        </w:rPr>
        <w:t xml:space="preserve"> </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t>Reproducibility: In the test-retest sample, the correlation (r=0.92) between the total scores for the questionnaire was high (p&lt;0.0001). No significant change occurred in the distribution of scores between the two assessments for reliability (paired t-test &gt;0.05).</w:t>
      </w:r>
      <w:r>
        <w:rPr>
          <w:rFonts w:ascii="Trebuchet MS" w:eastAsia="Times New Roman" w:hAnsi="Trebuchet MS" w:cs="Times New Roman"/>
          <w:color w:val="1F497D" w:themeColor="text2"/>
          <w:sz w:val="18"/>
          <w:szCs w:val="18"/>
          <w:lang w:val="en"/>
        </w:rPr>
        <w:t xml:space="preserve"> </w:t>
      </w:r>
      <w:proofErr w:type="gramStart"/>
      <w:r w:rsidRPr="00A26CA3">
        <w:rPr>
          <w:rFonts w:ascii="Trebuchet MS" w:eastAsia="Times New Roman" w:hAnsi="Trebuchet MS" w:cs="Times New Roman"/>
          <w:color w:val="1F497D" w:themeColor="text2"/>
          <w:sz w:val="18"/>
          <w:szCs w:val="18"/>
          <w:lang w:val="en"/>
        </w:rPr>
        <w:t>(Dawson et al, 1998).</w:t>
      </w:r>
      <w:proofErr w:type="gramEnd"/>
      <w:r w:rsidRPr="00A26CA3">
        <w:rPr>
          <w:rFonts w:ascii="Trebuchet MS" w:eastAsia="Times New Roman" w:hAnsi="Trebuchet MS" w:cs="Times New Roman"/>
          <w:color w:val="1F497D" w:themeColor="text2"/>
          <w:sz w:val="18"/>
          <w:szCs w:val="18"/>
          <w:lang w:val="en"/>
        </w:rPr>
        <w:t xml:space="preserve"> </w:t>
      </w:r>
      <w:r>
        <w:rPr>
          <w:rFonts w:ascii="Trebuchet MS" w:eastAsia="Times New Roman" w:hAnsi="Trebuchet MS" w:cs="Times New Roman"/>
          <w:color w:val="1F497D" w:themeColor="text2"/>
          <w:sz w:val="18"/>
          <w:szCs w:val="18"/>
          <w:lang w:val="en"/>
        </w:rPr>
        <w:t xml:space="preserve"> </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t>Construct validity: The study questionnaire correlated moderately with both components of the AKS clinical scores before operation (Table 2). There was also significant agreement (r&gt;0.5 to r=0.71, p&lt;0.01) between the OKS questionnaire and relevant domains of the SF 36 (physical function, role physical, pain and social function), and with both components of the HAQ, (pain VAS and the disability index).</w:t>
      </w:r>
      <w:r>
        <w:rPr>
          <w:rFonts w:ascii="Trebuchet MS" w:eastAsia="Times New Roman" w:hAnsi="Trebuchet MS" w:cs="Times New Roman"/>
          <w:color w:val="1F497D" w:themeColor="text2"/>
          <w:sz w:val="18"/>
          <w:szCs w:val="18"/>
          <w:lang w:val="en"/>
        </w:rPr>
        <w:t xml:space="preserve"> </w:t>
      </w:r>
      <w:proofErr w:type="gramStart"/>
      <w:r w:rsidRPr="00A26CA3">
        <w:rPr>
          <w:rFonts w:ascii="Trebuchet MS" w:eastAsia="Times New Roman" w:hAnsi="Trebuchet MS" w:cs="Times New Roman"/>
          <w:color w:val="1F497D" w:themeColor="text2"/>
          <w:sz w:val="18"/>
          <w:szCs w:val="18"/>
          <w:lang w:val="en"/>
        </w:rPr>
        <w:t>(Dawson et al, 1998).</w:t>
      </w:r>
      <w:proofErr w:type="gramEnd"/>
      <w:r w:rsidRPr="00A26CA3">
        <w:rPr>
          <w:rFonts w:ascii="Trebuchet MS" w:eastAsia="Times New Roman" w:hAnsi="Trebuchet MS" w:cs="Times New Roman"/>
          <w:color w:val="1F497D" w:themeColor="text2"/>
          <w:sz w:val="18"/>
          <w:szCs w:val="18"/>
          <w:lang w:val="en"/>
        </w:rPr>
        <w:t xml:space="preserve"> </w:t>
      </w:r>
      <w:r>
        <w:rPr>
          <w:rFonts w:ascii="Trebuchet MS" w:eastAsia="Times New Roman" w:hAnsi="Trebuchet MS" w:cs="Times New Roman"/>
          <w:color w:val="1F497D" w:themeColor="text2"/>
          <w:sz w:val="18"/>
          <w:szCs w:val="18"/>
          <w:lang w:val="en"/>
        </w:rPr>
        <w:t xml:space="preserve"> </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p>
    <w:p w:rsidR="00833325" w:rsidRDefault="00150C65" w:rsidP="00150C65">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r w:rsidRPr="0076283C">
        <w:rPr>
          <w:rFonts w:ascii="Trebuchet MS" w:eastAsia="Times New Roman" w:hAnsi="Trebuchet MS" w:cs="Times New Roman"/>
          <w:color w:val="1F497D" w:themeColor="text2"/>
          <w:sz w:val="18"/>
          <w:szCs w:val="18"/>
          <w:lang w:val="en"/>
        </w:rPr>
        <w:t>Sensitivity to change: Patients reported a substantial improvement at the six-month follow-up assessment. The effect size (2.19) was larger for the OKS questionnaire than for any of the individual subscales of the SF-36 questionnaire (Table 3), indicating that it could be particularly sensitive to improvements obtained by TKR. The change scores for the TKR questionnaire were significantly greater (p&lt;0.0001) for patients who reported the most improvement in their condition.</w:t>
      </w:r>
      <w:r>
        <w:rPr>
          <w:rFonts w:ascii="Trebuchet MS" w:eastAsia="Times New Roman" w:hAnsi="Trebuchet MS" w:cs="Times New Roman"/>
          <w:color w:val="1F497D" w:themeColor="text2"/>
          <w:sz w:val="18"/>
          <w:szCs w:val="18"/>
          <w:lang w:val="en"/>
        </w:rPr>
        <w:t xml:space="preserve"> </w:t>
      </w:r>
      <w:proofErr w:type="gramStart"/>
      <w:r w:rsidRPr="00A26CA3">
        <w:rPr>
          <w:rFonts w:ascii="Trebuchet MS" w:eastAsia="Times New Roman" w:hAnsi="Trebuchet MS" w:cs="Times New Roman"/>
          <w:color w:val="1F497D" w:themeColor="text2"/>
          <w:sz w:val="18"/>
          <w:szCs w:val="18"/>
          <w:lang w:val="en"/>
        </w:rPr>
        <w:t>(Dawson et al, 1998).</w:t>
      </w:r>
      <w:proofErr w:type="gramEnd"/>
    </w:p>
    <w:p w:rsidR="00150C65" w:rsidRDefault="00150C65" w:rsidP="00150C65">
      <w:pPr>
        <w:autoSpaceDE w:val="0"/>
        <w:autoSpaceDN w:val="0"/>
        <w:adjustRightInd w:val="0"/>
        <w:spacing w:after="0" w:line="240" w:lineRule="auto"/>
        <w:rPr>
          <w:rFonts w:ascii="Trebuchet MS" w:eastAsia="Times New Roman" w:hAnsi="Trebuchet MS" w:cs="Times New Roman"/>
          <w:color w:val="1F497D" w:themeColor="text2"/>
          <w:sz w:val="18"/>
          <w:szCs w:val="18"/>
          <w:lang w:val="en"/>
        </w:rPr>
      </w:pP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Validity of the PROM-PM</w:t>
      </w:r>
    </w:p>
    <w:p w:rsidR="00150C65" w:rsidRPr="001969A8" w:rsidRDefault="00150C65" w:rsidP="00150C65">
      <w:pPr>
        <w:spacing w:after="0" w:line="240" w:lineRule="auto"/>
        <w:rPr>
          <w:rFonts w:ascii="Trebuchet MS" w:eastAsia="Times New Roman" w:hAnsi="Trebuchet MS" w:cs="Times New Roman"/>
          <w:color w:val="1F497D" w:themeColor="text2"/>
          <w:sz w:val="18"/>
          <w:szCs w:val="18"/>
          <w:lang w:val="en"/>
        </w:rPr>
      </w:pPr>
      <w:r w:rsidRPr="001969A8">
        <w:rPr>
          <w:rFonts w:ascii="Trebuchet MS" w:eastAsia="Times New Roman" w:hAnsi="Trebuchet MS" w:cs="Times New Roman"/>
          <w:color w:val="1F497D" w:themeColor="text2"/>
          <w:sz w:val="18"/>
          <w:szCs w:val="18"/>
          <w:lang w:val="en"/>
        </w:rPr>
        <w:t>Denominator Certification</w:t>
      </w:r>
      <w:r>
        <w:rPr>
          <w:rFonts w:ascii="Trebuchet MS" w:eastAsia="Times New Roman" w:hAnsi="Trebuchet MS" w:cs="Times New Roman"/>
          <w:color w:val="1F497D" w:themeColor="text2"/>
          <w:sz w:val="18"/>
          <w:szCs w:val="18"/>
          <w:lang w:val="en"/>
        </w:rPr>
        <w:t xml:space="preserve"> (Initial Patient Population):</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Each</w:t>
      </w:r>
      <w:r w:rsidRPr="001969A8">
        <w:rPr>
          <w:rFonts w:ascii="Trebuchet MS" w:eastAsia="Times New Roman" w:hAnsi="Trebuchet MS" w:cs="Times New Roman"/>
          <w:color w:val="1F497D" w:themeColor="text2"/>
          <w:sz w:val="18"/>
          <w:szCs w:val="18"/>
          <w:lang w:val="en"/>
        </w:rPr>
        <w:t xml:space="preserve"> </w:t>
      </w:r>
      <w:r>
        <w:rPr>
          <w:rFonts w:ascii="Trebuchet MS" w:eastAsia="Times New Roman" w:hAnsi="Trebuchet MS" w:cs="Times New Roman"/>
          <w:color w:val="1F497D" w:themeColor="text2"/>
          <w:sz w:val="18"/>
          <w:szCs w:val="18"/>
          <w:lang w:val="en"/>
        </w:rPr>
        <w:t>practice</w:t>
      </w:r>
      <w:r w:rsidRPr="001969A8">
        <w:rPr>
          <w:rFonts w:ascii="Trebuchet MS" w:eastAsia="Times New Roman" w:hAnsi="Trebuchet MS" w:cs="Times New Roman"/>
          <w:color w:val="1F497D" w:themeColor="text2"/>
          <w:sz w:val="18"/>
          <w:szCs w:val="18"/>
          <w:lang w:val="en"/>
        </w:rPr>
        <w:t xml:space="preserve"> submitted a document outlining their method for identifying adult patients age 18 or older who underwent a lumbar spinal fusion procedure.</w:t>
      </w:r>
      <w:r>
        <w:rPr>
          <w:rFonts w:ascii="Trebuchet MS" w:eastAsia="Times New Roman" w:hAnsi="Trebuchet MS" w:cs="Times New Roman"/>
          <w:color w:val="1F497D" w:themeColor="text2"/>
          <w:sz w:val="18"/>
          <w:szCs w:val="18"/>
          <w:lang w:val="en"/>
        </w:rPr>
        <w:t xml:space="preserve">  This included a verification of CPT codes used to identify eligible patients, date ranges for age and procedure in addition to submitting EMR generated query code for validation of correct inclusion and exclusion criteria. </w:t>
      </w:r>
      <w:r w:rsidRPr="001969A8">
        <w:rPr>
          <w:rFonts w:ascii="Trebuchet MS" w:eastAsia="Times New Roman" w:hAnsi="Trebuchet MS" w:cs="Times New Roman"/>
          <w:color w:val="1F497D" w:themeColor="text2"/>
          <w:sz w:val="18"/>
          <w:szCs w:val="18"/>
          <w:lang w:val="en"/>
        </w:rPr>
        <w:t>MNCM staff verified each medical group’s method and system source code to ensure standard criteria were followed and that eligibl</w:t>
      </w:r>
      <w:r>
        <w:rPr>
          <w:rFonts w:ascii="Trebuchet MS" w:eastAsia="Times New Roman" w:hAnsi="Trebuchet MS" w:cs="Times New Roman"/>
          <w:color w:val="1F497D" w:themeColor="text2"/>
          <w:sz w:val="18"/>
          <w:szCs w:val="18"/>
          <w:lang w:val="en"/>
        </w:rPr>
        <w:t>e patients would be identified.</w:t>
      </w:r>
      <w:r w:rsidRPr="001969A8">
        <w:rPr>
          <w:rFonts w:ascii="Trebuchet MS" w:eastAsia="Times New Roman" w:hAnsi="Trebuchet MS" w:cs="Times New Roman"/>
          <w:color w:val="1F497D" w:themeColor="text2"/>
          <w:sz w:val="18"/>
          <w:szCs w:val="18"/>
          <w:lang w:val="en"/>
        </w:rPr>
        <w:t xml:space="preserve"> MNCM contacted the medical group to clarify their denominator method as necessary.</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sidRPr="001969A8">
        <w:rPr>
          <w:rFonts w:ascii="Trebuchet MS" w:eastAsia="Times New Roman" w:hAnsi="Trebuchet MS" w:cs="Times New Roman"/>
          <w:color w:val="1F497D" w:themeColor="text2"/>
          <w:sz w:val="18"/>
          <w:szCs w:val="18"/>
          <w:lang w:val="en"/>
        </w:rPr>
        <w:t>Data Quality Checks</w:t>
      </w:r>
      <w:r>
        <w:rPr>
          <w:rFonts w:ascii="Trebuchet MS" w:eastAsia="Times New Roman" w:hAnsi="Trebuchet MS" w:cs="Times New Roman"/>
          <w:color w:val="1F497D" w:themeColor="text2"/>
          <w:sz w:val="18"/>
          <w:szCs w:val="18"/>
          <w:lang w:val="en"/>
        </w:rPr>
        <w:t>:</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After the patient level file is submitted to the MNCM HIPAA secure data portal; file checks were performed on demographic data and age within normal distribution</w:t>
      </w: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p>
    <w:p w:rsidR="00150C65" w:rsidRDefault="00150C65" w:rsidP="00150C65">
      <w:pPr>
        <w:spacing w:after="0" w:line="240" w:lineRule="auto"/>
        <w:rPr>
          <w:rFonts w:ascii="Trebuchet MS" w:eastAsia="Times New Roman" w:hAnsi="Trebuchet MS" w:cs="Times New Roman"/>
          <w:color w:val="1F497D" w:themeColor="text2"/>
          <w:sz w:val="18"/>
          <w:szCs w:val="18"/>
          <w:lang w:val="en"/>
        </w:rPr>
      </w:pPr>
      <w:r w:rsidRPr="009E671B">
        <w:rPr>
          <w:rFonts w:ascii="Trebuchet MS" w:eastAsia="Times New Roman" w:hAnsi="Trebuchet MS" w:cs="Times New Roman"/>
          <w:color w:val="1F497D" w:themeColor="text2"/>
          <w:sz w:val="18"/>
          <w:szCs w:val="18"/>
          <w:lang w:val="en"/>
        </w:rPr>
        <w:t>Validation Audit</w:t>
      </w:r>
      <w:r>
        <w:rPr>
          <w:rFonts w:ascii="Trebuchet MS" w:eastAsia="Times New Roman" w:hAnsi="Trebuchet MS" w:cs="Times New Roman"/>
          <w:color w:val="1F497D" w:themeColor="text2"/>
          <w:sz w:val="18"/>
          <w:szCs w:val="18"/>
          <w:lang w:val="en"/>
        </w:rPr>
        <w:t>:</w:t>
      </w:r>
    </w:p>
    <w:p w:rsidR="00150C65" w:rsidRPr="00150C65" w:rsidRDefault="00150C65" w:rsidP="00150C65">
      <w:pPr>
        <w:spacing w:after="0"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MNCM used a standard validation process known as NCQA (National Committee for Quality Assurance) “8 and 30”, described here: The first eight records are verified for accuracy and if no errors are identified, the data is considered to be 100% compliant.  If errors in the first eight records are identified, we may continue reviewing the total 30 records to identify any error patterns or issues that may need correction.  Validation audit for this brand new measure demonstrated that 60 % of the practices passed their validation audit with no need for a corrective plan; 40% groups needed to make corrections to their submission and following re-submission all practices passed audit at 90% agreement between submitted data and the medical record.</w:t>
      </w:r>
    </w:p>
    <w:p w:rsidR="00150C65" w:rsidRDefault="00150C65" w:rsidP="00150C65">
      <w:pPr>
        <w:spacing w:after="120"/>
        <w:rPr>
          <w:rFonts w:ascii="Trebuchet MS" w:eastAsia="Times New Roman" w:hAnsi="Trebuchet MS" w:cs="Times New Roman"/>
          <w:color w:val="1F497D" w:themeColor="text2"/>
          <w:sz w:val="18"/>
          <w:szCs w:val="18"/>
          <w:lang w:val="en"/>
        </w:rPr>
      </w:pPr>
    </w:p>
    <w:p w:rsidR="00150C65" w:rsidRPr="00150C65" w:rsidRDefault="00150C65" w:rsidP="00150C65">
      <w:pPr>
        <w:spacing w:after="120"/>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MNCM completed audits against the medical record for all the practices submitting data for pilot testing.  Measure specific clinical data elements that were audited included:</w:t>
      </w:r>
    </w:p>
    <w:p w:rsidR="00150C65" w:rsidRPr="00150C65" w:rsidRDefault="00150C65"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Height and weight (pre-op)</w:t>
      </w:r>
    </w:p>
    <w:p w:rsidR="00150C65" w:rsidRPr="00150C65" w:rsidRDefault="00150C65"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Tobacco status</w:t>
      </w:r>
    </w:p>
    <w:p w:rsidR="00150C65" w:rsidRPr="00150C65" w:rsidRDefault="00150C65"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Diagnosis of diabetes</w:t>
      </w:r>
    </w:p>
    <w:p w:rsidR="00150C65" w:rsidRDefault="00150C65"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Date of procedure</w:t>
      </w:r>
    </w:p>
    <w:p w:rsidR="002F2F41" w:rsidRPr="00150C65" w:rsidRDefault="002F2F41"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Type of procedure (primary versus revision</w:t>
      </w:r>
    </w:p>
    <w:p w:rsidR="00150C65" w:rsidRPr="00150C65" w:rsidRDefault="00150C65"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Facility</w:t>
      </w:r>
    </w:p>
    <w:p w:rsidR="00150C65" w:rsidRPr="00150C65" w:rsidRDefault="00150C65"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Oxford Knee Score dates and scores; pre and post-op</w:t>
      </w:r>
    </w:p>
    <w:p w:rsidR="00150C65" w:rsidRPr="00150C65" w:rsidRDefault="00150C65" w:rsidP="00150C65">
      <w:pPr>
        <w:pStyle w:val="ListParagraph"/>
        <w:numPr>
          <w:ilvl w:val="0"/>
          <w:numId w:val="28"/>
        </w:numPr>
        <w:spacing w:line="240" w:lineRule="auto"/>
        <w:rPr>
          <w:rFonts w:ascii="Trebuchet MS" w:eastAsia="Times New Roman" w:hAnsi="Trebuchet MS" w:cs="Times New Roman"/>
          <w:color w:val="1F497D" w:themeColor="text2"/>
          <w:sz w:val="18"/>
          <w:szCs w:val="18"/>
          <w:lang w:val="en"/>
        </w:rPr>
      </w:pPr>
      <w:r w:rsidRPr="00150C65">
        <w:rPr>
          <w:rFonts w:ascii="Trebuchet MS" w:eastAsia="Times New Roman" w:hAnsi="Trebuchet MS" w:cs="Times New Roman"/>
          <w:color w:val="1F497D" w:themeColor="text2"/>
          <w:sz w:val="18"/>
          <w:szCs w:val="18"/>
          <w:lang w:val="en"/>
        </w:rPr>
        <w:t>EQ5D dates and scores, including health state scores (pre and post-op)</w:t>
      </w:r>
    </w:p>
    <w:p w:rsidR="00150C65" w:rsidRDefault="00150C65" w:rsidP="00150C65">
      <w:pPr>
        <w:pStyle w:val="ListParagraph"/>
        <w:spacing w:after="0" w:line="240" w:lineRule="auto"/>
        <w:rPr>
          <w:rFonts w:ascii="Trebuchet MS" w:eastAsia="Times New Roman" w:hAnsi="Trebuchet MS" w:cs="Times New Roman"/>
          <w:color w:val="1F497D" w:themeColor="text2"/>
          <w:sz w:val="18"/>
          <w:szCs w:val="18"/>
          <w:lang w:val="en"/>
        </w:rPr>
      </w:pPr>
    </w:p>
    <w:p w:rsidR="00150C65" w:rsidRPr="002F2F41" w:rsidRDefault="00150C65" w:rsidP="002F2F41">
      <w:pPr>
        <w:spacing w:after="0" w:line="240" w:lineRule="auto"/>
        <w:rPr>
          <w:rFonts w:ascii="Trebuchet MS" w:eastAsia="Times New Roman" w:hAnsi="Trebuchet MS" w:cs="Times New Roman"/>
          <w:color w:val="1F497D" w:themeColor="text2"/>
          <w:sz w:val="18"/>
          <w:szCs w:val="18"/>
          <w:lang w:val="en"/>
        </w:rPr>
      </w:pPr>
      <w:r w:rsidRPr="002F2F41">
        <w:rPr>
          <w:rFonts w:ascii="Trebuchet MS" w:eastAsia="Times New Roman" w:hAnsi="Trebuchet MS" w:cs="Times New Roman"/>
          <w:color w:val="1F497D" w:themeColor="text2"/>
          <w:sz w:val="18"/>
          <w:szCs w:val="18"/>
          <w:lang w:val="en"/>
        </w:rPr>
        <w:t xml:space="preserve">Error types included incorrect OKS summary score (5), incorrect tobacco status (2), tobacco status not pre-op (2), height and weight not pre-op (3), height and weight value (1), diabetes diagnosis (3), procedure date (2), and procedure type (2). </w:t>
      </w:r>
    </w:p>
    <w:p w:rsidR="00833325" w:rsidRPr="00A25024" w:rsidRDefault="00833325" w:rsidP="00DB3627">
      <w:pPr>
        <w:autoSpaceDE w:val="0"/>
        <w:autoSpaceDN w:val="0"/>
        <w:adjustRightInd w:val="0"/>
        <w:spacing w:after="0" w:line="240" w:lineRule="auto"/>
        <w:rPr>
          <w:rFonts w:cstheme="minorHAnsi"/>
          <w:bCs/>
        </w:rPr>
      </w:pPr>
    </w:p>
    <w:p w:rsidR="007422FD" w:rsidRPr="00092566"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2F2F41" w:rsidRPr="002F2F41">
        <w:rPr>
          <w:rFonts w:ascii="Trebuchet MS" w:eastAsia="Times New Roman" w:hAnsi="Trebuchet MS" w:cs="Times New Roman"/>
          <w:color w:val="1F497D" w:themeColor="text2"/>
          <w:sz w:val="18"/>
          <w:szCs w:val="18"/>
          <w:lang w:val="en"/>
        </w:rPr>
        <w:t>All groups</w:t>
      </w:r>
      <w:r w:rsidR="002F2F41">
        <w:rPr>
          <w:rFonts w:ascii="Trebuchet MS" w:eastAsia="Times New Roman" w:hAnsi="Trebuchet MS" w:cs="Times New Roman"/>
          <w:color w:val="1F497D" w:themeColor="text2"/>
          <w:sz w:val="18"/>
          <w:szCs w:val="18"/>
          <w:lang w:val="en"/>
        </w:rPr>
        <w:t xml:space="preserve"> passed a validation audit with greater than 90% agreement comparing submitted data against the patient’s medical record.</w:t>
      </w:r>
      <w:r w:rsidR="00E77D2B">
        <w:rPr>
          <w:rFonts w:ascii="Trebuchet MS" w:eastAsia="Times New Roman" w:hAnsi="Trebuchet MS" w:cs="Times New Roman"/>
          <w:color w:val="1F497D" w:themeColor="text2"/>
          <w:sz w:val="18"/>
          <w:szCs w:val="18"/>
          <w:lang w:val="en"/>
        </w:rPr>
        <w:t xml:space="preserve">  No changes to the measure specifications (denominator, measure calculation) as a result of testing. </w:t>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E77D2B">
        <w:rPr>
          <w:rFonts w:ascii="Trebuchet MS" w:eastAsia="Times New Roman" w:hAnsi="Trebuchet MS" w:cs="Times New Roman"/>
          <w:color w:val="1F497D" w:themeColor="text2"/>
          <w:sz w:val="18"/>
          <w:szCs w:val="18"/>
          <w:lang w:val="en"/>
        </w:rPr>
        <w:t xml:space="preserve">No changes to the measure specifications (denominator, measure calculation) as a result of testing. Continue to evaluate the rates of pre-operative and post-operative tool administration </w:t>
      </w:r>
      <w:r w:rsidR="00E77D2B" w:rsidRPr="007F4740">
        <w:rPr>
          <w:rFonts w:ascii="Trebuchet MS" w:eastAsia="Times New Roman" w:hAnsi="Trebuchet MS" w:cs="Times New Roman"/>
          <w:color w:val="1F497D" w:themeColor="text2"/>
          <w:sz w:val="18"/>
          <w:szCs w:val="18"/>
          <w:lang w:val="en"/>
        </w:rPr>
        <w:t>to determine suitability of outcom</w:t>
      </w:r>
      <w:r w:rsidR="00E77D2B">
        <w:rPr>
          <w:rFonts w:ascii="Trebuchet MS" w:eastAsia="Times New Roman" w:hAnsi="Trebuchet MS" w:cs="Times New Roman"/>
          <w:color w:val="1F497D" w:themeColor="text2"/>
          <w:sz w:val="18"/>
          <w:szCs w:val="18"/>
          <w:lang w:val="en"/>
        </w:rPr>
        <w:t>e measures for public reporting.</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E77D2B">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rsidR="00833325" w:rsidRPr="00A25024" w:rsidRDefault="00833325" w:rsidP="00DB3627">
      <w:pPr>
        <w:autoSpaceDE w:val="0"/>
        <w:autoSpaceDN w:val="0"/>
        <w:adjustRightInd w:val="0"/>
        <w:spacing w:after="0" w:line="240" w:lineRule="auto"/>
        <w:rPr>
          <w:rFonts w:cstheme="minorHAnsi"/>
          <w:bCs/>
        </w:rPr>
      </w:pP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rsidR="00092566" w:rsidRPr="00092566" w:rsidRDefault="00092566" w:rsidP="00092566">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E1337B"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E1337B"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E77D2B">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A83A5B">
            <w:rPr>
              <w:rStyle w:val="Style4"/>
              <w:u w:val="none"/>
            </w:rPr>
            <w:t>14</w:t>
          </w:r>
        </w:sdtContent>
      </w:sdt>
      <w:r w:rsidR="00E562C0" w:rsidRPr="006F22A5">
        <w:rPr>
          <w:rStyle w:val="Style4"/>
          <w:u w:val="none"/>
        </w:rPr>
        <w:t xml:space="preserve"> </w:t>
      </w:r>
      <w:r w:rsidR="00743E46" w:rsidRPr="005232D6">
        <w:rPr>
          <w:rFonts w:cstheme="minorHAnsi"/>
          <w:b/>
          <w:bCs/>
        </w:rPr>
        <w:t>risk factors</w:t>
      </w:r>
    </w:p>
    <w:p w:rsidR="00743E46" w:rsidRPr="005232D6" w:rsidRDefault="00E1337B"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Pr>
              <w:rStyle w:val="Style4"/>
              <w:u w:val="none"/>
            </w:rPr>
            <w:t>2; primary or revision TKR</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bookmarkStart w:id="12" w:name="_GoBack"/>
      <w:bookmarkEnd w:id="12"/>
    </w:p>
    <w:p w:rsidR="00743E46" w:rsidRPr="005232D6" w:rsidRDefault="00E1337B"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6023C0" w:rsidRDefault="00092566" w:rsidP="006023C0">
      <w:pPr>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r w:rsidR="006023C0" w:rsidRPr="00323FC5">
        <w:rPr>
          <w:rFonts w:ascii="Trebuchet MS" w:eastAsia="Times New Roman" w:hAnsi="Trebuchet MS" w:cs="Times New Roman"/>
          <w:color w:val="1F497D" w:themeColor="text2"/>
          <w:sz w:val="18"/>
          <w:szCs w:val="18"/>
          <w:lang w:val="en"/>
        </w:rPr>
        <w:t xml:space="preserve">During the measure development process, the expert panel discusses potential variables for risk adjustment that are important to consider for the measured population, in this case patients with undergoing </w:t>
      </w:r>
      <w:r w:rsidR="006023C0">
        <w:rPr>
          <w:rFonts w:ascii="Trebuchet MS" w:eastAsia="Times New Roman" w:hAnsi="Trebuchet MS" w:cs="Times New Roman"/>
          <w:color w:val="1F497D" w:themeColor="text2"/>
          <w:sz w:val="18"/>
          <w:szCs w:val="18"/>
          <w:lang w:val="en"/>
        </w:rPr>
        <w:t xml:space="preserve">total knee replacement </w:t>
      </w:r>
      <w:r w:rsidR="006023C0" w:rsidRPr="00323FC5">
        <w:rPr>
          <w:rFonts w:ascii="Trebuchet MS" w:eastAsia="Times New Roman" w:hAnsi="Trebuchet MS" w:cs="Times New Roman"/>
          <w:color w:val="1F497D" w:themeColor="text2"/>
          <w:sz w:val="18"/>
          <w:szCs w:val="18"/>
          <w:lang w:val="en"/>
        </w:rPr>
        <w:t>procedures. The group decides what clinical variables in addition to the MNCM standard demographic data (gender, age, zip, race/ethnicity, country of origin, primary language and insurance product) to collect through the data collection and submission process. Risk adjustment variables selected for this measure additionally include:</w:t>
      </w:r>
      <w:r w:rsidR="006023C0">
        <w:rPr>
          <w:rFonts w:ascii="Trebuchet MS" w:eastAsia="Times New Roman" w:hAnsi="Trebuchet MS" w:cs="Times New Roman"/>
          <w:color w:val="1F497D" w:themeColor="text2"/>
          <w:sz w:val="18"/>
          <w:szCs w:val="18"/>
          <w:lang w:val="en"/>
        </w:rPr>
        <w:t xml:space="preserve"> </w:t>
      </w:r>
      <w:r w:rsidR="006023C0" w:rsidRPr="00323FC5">
        <w:rPr>
          <w:rFonts w:ascii="Trebuchet MS" w:eastAsia="Times New Roman" w:hAnsi="Trebuchet MS" w:cs="Times New Roman"/>
          <w:color w:val="1F497D" w:themeColor="text2"/>
          <w:sz w:val="18"/>
          <w:szCs w:val="18"/>
          <w:lang w:val="en"/>
        </w:rPr>
        <w:t>pre-op functional status sco</w:t>
      </w:r>
      <w:r w:rsidR="006023C0">
        <w:rPr>
          <w:rFonts w:ascii="Trebuchet MS" w:eastAsia="Times New Roman" w:hAnsi="Trebuchet MS" w:cs="Times New Roman"/>
          <w:color w:val="1F497D" w:themeColor="text2"/>
          <w:sz w:val="18"/>
          <w:szCs w:val="18"/>
          <w:lang w:val="en"/>
        </w:rPr>
        <w:t xml:space="preserve">re (OKS), </w:t>
      </w:r>
      <w:r w:rsidR="006023C0" w:rsidRPr="00323FC5">
        <w:rPr>
          <w:rFonts w:ascii="Trebuchet MS" w:eastAsia="Times New Roman" w:hAnsi="Trebuchet MS" w:cs="Times New Roman"/>
          <w:color w:val="1F497D" w:themeColor="text2"/>
          <w:sz w:val="18"/>
          <w:szCs w:val="18"/>
          <w:lang w:val="en"/>
        </w:rPr>
        <w:t xml:space="preserve">pre-operative quality of life (PROMIS Global-10) general mental health subscale and general physical health subscale, </w:t>
      </w:r>
      <w:r w:rsidR="006023C0">
        <w:rPr>
          <w:rFonts w:ascii="Trebuchet MS" w:eastAsia="Times New Roman" w:hAnsi="Trebuchet MS" w:cs="Times New Roman"/>
          <w:color w:val="1F497D" w:themeColor="text2"/>
          <w:sz w:val="18"/>
          <w:szCs w:val="18"/>
          <w:lang w:val="en"/>
        </w:rPr>
        <w:t xml:space="preserve">primary diagnosis, </w:t>
      </w:r>
      <w:r w:rsidR="006023C0" w:rsidRPr="00323FC5">
        <w:rPr>
          <w:rFonts w:ascii="Trebuchet MS" w:eastAsia="Times New Roman" w:hAnsi="Trebuchet MS" w:cs="Times New Roman"/>
          <w:color w:val="1F497D" w:themeColor="text2"/>
          <w:sz w:val="18"/>
          <w:szCs w:val="18"/>
          <w:lang w:val="en"/>
        </w:rPr>
        <w:t>BMI</w:t>
      </w:r>
      <w:r w:rsidR="006023C0">
        <w:rPr>
          <w:rFonts w:ascii="Trebuchet MS" w:eastAsia="Times New Roman" w:hAnsi="Trebuchet MS" w:cs="Times New Roman"/>
          <w:color w:val="1F497D" w:themeColor="text2"/>
          <w:sz w:val="18"/>
          <w:szCs w:val="18"/>
          <w:lang w:val="en"/>
        </w:rPr>
        <w:t>, diabetes</w:t>
      </w:r>
      <w:r w:rsidR="006023C0" w:rsidRPr="00323FC5">
        <w:rPr>
          <w:rFonts w:ascii="Trebuchet MS" w:eastAsia="Times New Roman" w:hAnsi="Trebuchet MS" w:cs="Times New Roman"/>
          <w:color w:val="1F497D" w:themeColor="text2"/>
          <w:sz w:val="18"/>
          <w:szCs w:val="18"/>
          <w:lang w:val="en"/>
        </w:rPr>
        <w:t xml:space="preserve"> and tobacco use.</w:t>
      </w:r>
      <w:r w:rsidR="006023C0" w:rsidRPr="00323FC5">
        <w:rPr>
          <w:rFonts w:ascii="Trebuchet MS" w:eastAsia="Times New Roman" w:hAnsi="Trebuchet MS" w:cs="Times New Roman"/>
          <w:color w:val="000000"/>
          <w:sz w:val="18"/>
          <w:szCs w:val="18"/>
          <w:lang w:val="en"/>
        </w:rPr>
        <w:br/>
      </w:r>
      <w:r w:rsidR="006023C0" w:rsidRPr="00323FC5">
        <w:rPr>
          <w:rFonts w:ascii="Trebuchet MS" w:eastAsia="Times New Roman" w:hAnsi="Trebuchet MS" w:cs="Times New Roman"/>
          <w:color w:val="1F497D" w:themeColor="text2"/>
          <w:sz w:val="18"/>
          <w:szCs w:val="18"/>
          <w:lang w:val="en"/>
        </w:rPr>
        <w:lastRenderedPageBreak/>
        <w:t>The potential risk adjustment variables are then evaluated for appropriate inclusion in the model based on a t value outside the range of -2.0 and +2.0.</w:t>
      </w:r>
      <w:r w:rsidR="006023C0" w:rsidRPr="00323FC5">
        <w:rPr>
          <w:rFonts w:ascii="Trebuchet MS" w:eastAsia="Times New Roman" w:hAnsi="Trebuchet MS" w:cs="Times New Roman"/>
          <w:color w:val="1F497D" w:themeColor="text2"/>
          <w:sz w:val="18"/>
          <w:szCs w:val="18"/>
          <w:lang w:val="en"/>
        </w:rPr>
        <w:br/>
      </w:r>
      <w:r w:rsidR="006023C0" w:rsidRPr="00323FC5">
        <w:rPr>
          <w:rFonts w:ascii="Trebuchet MS" w:eastAsia="Times New Roman" w:hAnsi="Trebuchet MS" w:cs="Times New Roman"/>
          <w:color w:val="1F497D" w:themeColor="text2"/>
          <w:sz w:val="18"/>
          <w:szCs w:val="18"/>
          <w:lang w:val="en"/>
        </w:rPr>
        <w:br/>
        <w:t xml:space="preserve">This is a new measure; recently completed </w:t>
      </w:r>
      <w:r w:rsidR="006023C0">
        <w:rPr>
          <w:rFonts w:ascii="Trebuchet MS" w:eastAsia="Times New Roman" w:hAnsi="Trebuchet MS" w:cs="Times New Roman"/>
          <w:color w:val="1F497D" w:themeColor="text2"/>
          <w:sz w:val="18"/>
          <w:szCs w:val="18"/>
          <w:lang w:val="en"/>
        </w:rPr>
        <w:t xml:space="preserve">multi-phase </w:t>
      </w:r>
      <w:r w:rsidR="006023C0" w:rsidRPr="00323FC5">
        <w:rPr>
          <w:rFonts w:ascii="Trebuchet MS" w:eastAsia="Times New Roman" w:hAnsi="Trebuchet MS" w:cs="Times New Roman"/>
          <w:color w:val="1F497D" w:themeColor="text2"/>
          <w:sz w:val="18"/>
          <w:szCs w:val="18"/>
          <w:lang w:val="en"/>
        </w:rPr>
        <w:t xml:space="preserve">pilot testing. Risk adjustment model testing </w:t>
      </w:r>
      <w:r w:rsidR="006023C0">
        <w:rPr>
          <w:rFonts w:ascii="Trebuchet MS" w:eastAsia="Times New Roman" w:hAnsi="Trebuchet MS" w:cs="Times New Roman"/>
          <w:color w:val="1F497D" w:themeColor="text2"/>
          <w:sz w:val="18"/>
          <w:szCs w:val="18"/>
          <w:lang w:val="en"/>
        </w:rPr>
        <w:t>is planned for mid-2016.</w:t>
      </w:r>
    </w:p>
    <w:p w:rsidR="00092566" w:rsidRPr="006023C0" w:rsidRDefault="006023C0" w:rsidP="006023C0">
      <w:pPr>
        <w:spacing w:after="0" w:line="240" w:lineRule="auto"/>
        <w:rPr>
          <w:rFonts w:ascii="Trebuchet MS" w:eastAsia="Times New Roman" w:hAnsi="Trebuchet MS" w:cs="Times New Roman"/>
          <w:color w:val="1F497D" w:themeColor="text2"/>
          <w:sz w:val="18"/>
          <w:szCs w:val="18"/>
          <w:lang w:val="en"/>
        </w:rPr>
      </w:pPr>
      <w:r w:rsidRPr="00323FC5">
        <w:rPr>
          <w:rFonts w:ascii="Trebuchet MS" w:eastAsia="Times New Roman" w:hAnsi="Trebuchet MS" w:cs="Times New Roman"/>
          <w:color w:val="1F497D" w:themeColor="text2"/>
          <w:sz w:val="18"/>
          <w:szCs w:val="18"/>
          <w:lang w:val="en"/>
        </w:rPr>
        <w:br/>
        <w:t xml:space="preserve">MN Community Measurement’s Board of Directors has reviewed and discussed the issues surrounding risk adjustment of outcome data that is currently reported on our consumer facing public website at www.mnhealthscores.org and used in many health plan and state contracts for demonstrating excellence in outcomes. Historically, the Board has favored the public reporting of unadjusted rates determining that the wide variation in results for chronic disease measures were the result of variation in care process, rather than patient risk factors. As the breadth and complexity of the measures we are reporting have expanded and care processes and tools used by the community have become more standardized, the Board has convened a Risk Adjustment Task Force to evaluate methodologies for public reporting. Their preliminary recommendations indicate that publicly reported data should be risk adjusted using the “Actual to Expected” methodology, which would allow the unadjusted rate to be simultaneously preserved and displayed. </w:t>
      </w:r>
      <w:r w:rsidRPr="00323FC5">
        <w:rPr>
          <w:rFonts w:ascii="Trebuchet MS" w:eastAsia="Times New Roman" w:hAnsi="Trebuchet MS" w:cs="Times New Roman"/>
          <w:color w:val="1F497D" w:themeColor="text2"/>
          <w:sz w:val="18"/>
          <w:szCs w:val="18"/>
          <w:lang w:val="en"/>
        </w:rPr>
        <w:br/>
      </w:r>
      <w:r w:rsidRPr="00323FC5">
        <w:rPr>
          <w:rFonts w:ascii="Trebuchet MS" w:eastAsia="Times New Roman" w:hAnsi="Trebuchet MS" w:cs="Times New Roman"/>
          <w:color w:val="1F497D" w:themeColor="text2"/>
          <w:sz w:val="18"/>
          <w:szCs w:val="18"/>
          <w:lang w:val="en"/>
        </w:rPr>
        <w:br/>
        <w:t xml:space="preserve">The effect of risk adjustment on clinic ranking is examined in three ways. First, the clinic’s unadjusted and adjusted quality measures are compared using correlation analysis. Two types of correlation are used, Pearson and Kendall. Pearson’s correlation examines the correlation when the measures are treated as continuous measures. A high correlation (close to 1) means that the two measures strongly co-vary, when one is high the other is high. Kendall’s correlation examines the similarity between the unadjusted and adjusted quality measure in terms of the similarity in the way clinics are ranked by the measures. Because of the focus of Kendall’s correlation on comparing ranks and the interest in the use of clinic quality scores for clinic comparison, Kendall’s correlation is likely to be the most useful correlation measure. </w:t>
      </w:r>
      <w:r w:rsidRPr="00323FC5">
        <w:rPr>
          <w:rFonts w:ascii="Trebuchet MS" w:eastAsia="Times New Roman" w:hAnsi="Trebuchet MS" w:cs="Times New Roman"/>
          <w:color w:val="1F497D" w:themeColor="text2"/>
          <w:sz w:val="18"/>
          <w:szCs w:val="18"/>
          <w:lang w:val="en"/>
        </w:rPr>
        <w:br/>
        <w:t xml:space="preserve">The second comparison ranks the clinics into performance rank </w:t>
      </w:r>
      <w:proofErr w:type="spellStart"/>
      <w:r w:rsidRPr="00323FC5">
        <w:rPr>
          <w:rFonts w:ascii="Trebuchet MS" w:eastAsia="Times New Roman" w:hAnsi="Trebuchet MS" w:cs="Times New Roman"/>
          <w:color w:val="1F497D" w:themeColor="text2"/>
          <w:sz w:val="18"/>
          <w:szCs w:val="18"/>
          <w:lang w:val="en"/>
        </w:rPr>
        <w:t>deciles</w:t>
      </w:r>
      <w:proofErr w:type="spellEnd"/>
      <w:r w:rsidRPr="00323FC5">
        <w:rPr>
          <w:rFonts w:ascii="Trebuchet MS" w:eastAsia="Times New Roman" w:hAnsi="Trebuchet MS" w:cs="Times New Roman"/>
          <w:color w:val="1F497D" w:themeColor="text2"/>
          <w:sz w:val="18"/>
          <w:szCs w:val="18"/>
          <w:lang w:val="en"/>
        </w:rPr>
        <w:t xml:space="preserve"> based on the unadjusted and adjusted scores and then examines how </w:t>
      </w:r>
      <w:proofErr w:type="spellStart"/>
      <w:r w:rsidRPr="00323FC5">
        <w:rPr>
          <w:rFonts w:ascii="Trebuchet MS" w:eastAsia="Times New Roman" w:hAnsi="Trebuchet MS" w:cs="Times New Roman"/>
          <w:color w:val="1F497D" w:themeColor="text2"/>
          <w:sz w:val="18"/>
          <w:szCs w:val="18"/>
          <w:lang w:val="en"/>
        </w:rPr>
        <w:t>decile</w:t>
      </w:r>
      <w:proofErr w:type="spellEnd"/>
      <w:r w:rsidRPr="00323FC5">
        <w:rPr>
          <w:rFonts w:ascii="Trebuchet MS" w:eastAsia="Times New Roman" w:hAnsi="Trebuchet MS" w:cs="Times New Roman"/>
          <w:color w:val="1F497D" w:themeColor="text2"/>
          <w:sz w:val="18"/>
          <w:szCs w:val="18"/>
          <w:lang w:val="en"/>
        </w:rPr>
        <w:t xml:space="preserve"> rankings based on unadjusted measures compare to </w:t>
      </w:r>
      <w:proofErr w:type="spellStart"/>
      <w:r w:rsidRPr="00323FC5">
        <w:rPr>
          <w:rFonts w:ascii="Trebuchet MS" w:eastAsia="Times New Roman" w:hAnsi="Trebuchet MS" w:cs="Times New Roman"/>
          <w:color w:val="1F497D" w:themeColor="text2"/>
          <w:sz w:val="18"/>
          <w:szCs w:val="18"/>
          <w:lang w:val="en"/>
        </w:rPr>
        <w:t>decile</w:t>
      </w:r>
      <w:proofErr w:type="spellEnd"/>
      <w:r w:rsidRPr="00323FC5">
        <w:rPr>
          <w:rFonts w:ascii="Trebuchet MS" w:eastAsia="Times New Roman" w:hAnsi="Trebuchet MS" w:cs="Times New Roman"/>
          <w:color w:val="1F497D" w:themeColor="text2"/>
          <w:sz w:val="18"/>
          <w:szCs w:val="18"/>
          <w:lang w:val="en"/>
        </w:rPr>
        <w:t xml:space="preserve"> rankings based on adjusted measures. The third comparison ranks clinics into Poor, Below Average, Average, Above Average, and Excellent categories using statistical methods that take into account the quality measure’s confidence interval which is calculated based on the number of patients each clinic reports(11, 12). These two methods are compared directly in our accompanying report on the quality deviations ranking approach.</w:t>
      </w:r>
    </w:p>
    <w:p w:rsidR="00001D73" w:rsidRPr="00001D73" w:rsidRDefault="00001D73" w:rsidP="00001D73">
      <w:pPr>
        <w:autoSpaceDE w:val="0"/>
        <w:autoSpaceDN w:val="0"/>
        <w:adjustRightInd w:val="0"/>
        <w:spacing w:after="0" w:line="240" w:lineRule="auto"/>
        <w:rPr>
          <w:rFonts w:cstheme="minorHAnsi"/>
          <w:bCs/>
        </w:rPr>
      </w:pPr>
    </w:p>
    <w:p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777460" w:rsidRPr="002D6D8D">
        <w:rPr>
          <w:rFonts w:ascii="Trebuchet MS" w:eastAsia="Times New Roman" w:hAnsi="Trebuchet MS" w:cs="Times New Roman"/>
          <w:color w:val="1F497D" w:themeColor="text2"/>
          <w:sz w:val="18"/>
          <w:szCs w:val="18"/>
          <w:lang w:val="en"/>
        </w:rPr>
        <w:t xml:space="preserve">This is a new measure; recently completed pilot testing.  Risk adjustment </w:t>
      </w:r>
      <w:r w:rsidR="00777460">
        <w:rPr>
          <w:rFonts w:ascii="Trebuchet MS" w:eastAsia="Times New Roman" w:hAnsi="Trebuchet MS" w:cs="Times New Roman"/>
          <w:color w:val="1F497D" w:themeColor="text2"/>
          <w:sz w:val="18"/>
          <w:szCs w:val="18"/>
          <w:lang w:val="en"/>
        </w:rPr>
        <w:t>model testing will commence mid-</w:t>
      </w:r>
      <w:r w:rsidR="00777460" w:rsidRPr="002D6D8D">
        <w:rPr>
          <w:rFonts w:ascii="Trebuchet MS" w:eastAsia="Times New Roman" w:hAnsi="Trebuchet MS" w:cs="Times New Roman"/>
          <w:color w:val="1F497D" w:themeColor="text2"/>
          <w:sz w:val="18"/>
          <w:szCs w:val="18"/>
          <w:lang w:val="en"/>
        </w:rPr>
        <w:t>201</w:t>
      </w:r>
      <w:r w:rsidR="00777460">
        <w:rPr>
          <w:rFonts w:ascii="Trebuchet MS" w:eastAsia="Times New Roman" w:hAnsi="Trebuchet MS" w:cs="Times New Roman"/>
          <w:color w:val="1F497D" w:themeColor="text2"/>
          <w:sz w:val="18"/>
          <w:szCs w:val="18"/>
          <w:lang w:val="en"/>
        </w:rPr>
        <w:t>6.</w:t>
      </w:r>
      <w:r w:rsidR="00777460" w:rsidRPr="002D6D8D">
        <w:rPr>
          <w:rFonts w:ascii="Trebuchet MS" w:eastAsia="Times New Roman" w:hAnsi="Trebuchet MS" w:cs="Times New Roman"/>
          <w:color w:val="1F497D" w:themeColor="text2"/>
          <w:sz w:val="18"/>
          <w:szCs w:val="18"/>
          <w:lang w:val="en"/>
        </w:rPr>
        <w:t xml:space="preserve"> </w:t>
      </w:r>
    </w:p>
    <w:p w:rsidR="00001D73" w:rsidRPr="00001D73" w:rsidRDefault="00001D73" w:rsidP="00001D73">
      <w:pPr>
        <w:autoSpaceDE w:val="0"/>
        <w:autoSpaceDN w:val="0"/>
        <w:adjustRightInd w:val="0"/>
        <w:spacing w:after="0" w:line="240" w:lineRule="auto"/>
        <w:rPr>
          <w:rFonts w:cstheme="minorHAnsi"/>
          <w:b/>
          <w:bCs/>
        </w:rPr>
      </w:pP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092566" w:rsidP="00092566">
      <w:pPr>
        <w:pStyle w:val="ListParagraph"/>
        <w:rPr>
          <w:rFonts w:cstheme="minorHAnsi"/>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lastRenderedPageBreak/>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rsidR="00D61410" w:rsidRPr="00A25024" w:rsidRDefault="00D61410" w:rsidP="00D61410">
      <w:pPr>
        <w:autoSpaceDE w:val="0"/>
        <w:autoSpaceDN w:val="0"/>
        <w:adjustRightInd w:val="0"/>
        <w:spacing w:after="0" w:line="240" w:lineRule="auto"/>
        <w:rPr>
          <w:rFonts w:cstheme="minorHAnsi"/>
          <w:bCs/>
        </w:rPr>
      </w:pPr>
    </w:p>
    <w:p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D61410" w:rsidRPr="00927027"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rsidR="00E1508F" w:rsidRPr="00E1508F" w:rsidRDefault="00E1508F" w:rsidP="00E1508F">
      <w:pPr>
        <w:autoSpaceDE w:val="0"/>
        <w:autoSpaceDN w:val="0"/>
        <w:adjustRightInd w:val="0"/>
        <w:spacing w:after="0" w:line="240" w:lineRule="auto"/>
        <w:rPr>
          <w:rFonts w:cstheme="minorHAnsi"/>
          <w:bCs/>
        </w:rPr>
      </w:pPr>
    </w:p>
    <w:p w:rsidR="0079180E" w:rsidRDefault="00E1508F" w:rsidP="00DB3627">
      <w:pPr>
        <w:autoSpaceDE w:val="0"/>
        <w:autoSpaceDN w:val="0"/>
        <w:adjustRightInd w:val="0"/>
        <w:spacing w:after="0" w:line="240" w:lineRule="auto"/>
        <w:rPr>
          <w:rFonts w:cstheme="minorHAnsi"/>
          <w:bCs/>
        </w:rPr>
      </w:pPr>
      <w:r>
        <w:rPr>
          <w:rFonts w:cstheme="minorHAnsi"/>
          <w:b/>
          <w:bCs/>
        </w:rPr>
        <w:lastRenderedPageBreak/>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A2079" w:rsidRDefault="008F7E67" w:rsidP="008A2079">
      <w:pPr>
        <w:spacing w:after="0" w:line="240" w:lineRule="auto"/>
        <w:rPr>
          <w:rFonts w:ascii="Trebuchet MS" w:eastAsia="Times New Roman" w:hAnsi="Trebuchet MS" w:cs="Times New Roman"/>
          <w:color w:val="1F497D" w:themeColor="text2"/>
          <w:sz w:val="18"/>
          <w:szCs w:val="18"/>
          <w:lang w:val="en"/>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8A2079">
        <w:rPr>
          <w:rFonts w:ascii="Trebuchet MS" w:eastAsia="Times New Roman" w:hAnsi="Trebuchet MS" w:cs="Times New Roman"/>
          <w:color w:val="1F497D" w:themeColor="text2"/>
          <w:sz w:val="18"/>
          <w:szCs w:val="18"/>
          <w:lang w:val="en"/>
        </w:rPr>
        <w:t xml:space="preserve">Patients who are missing either a pre-op or a post-op assessment are not included in the denominator for calculating the average change in function.  </w:t>
      </w:r>
    </w:p>
    <w:p w:rsidR="008A2079" w:rsidRDefault="008A2079" w:rsidP="008A2079">
      <w:pPr>
        <w:spacing w:after="0" w:line="240" w:lineRule="auto"/>
        <w:rPr>
          <w:rFonts w:ascii="Trebuchet MS" w:eastAsia="Times New Roman" w:hAnsi="Trebuchet MS" w:cs="Times New Roman"/>
          <w:color w:val="1F497D" w:themeColor="text2"/>
          <w:sz w:val="18"/>
          <w:szCs w:val="18"/>
          <w:lang w:val="en"/>
        </w:rPr>
      </w:pPr>
    </w:p>
    <w:p w:rsidR="008A2079" w:rsidRDefault="008A2079" w:rsidP="008A2079">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Patients with missing data (do not have both a completed pre-op or post-op OKS assessment tool) are tracked and accounted for by 1) the requirement for their submission of patient level data despite incomplete tool usage and 2) rates of tool administration by practice for monitoring the stability and reliability of the measure prior to any use or reporting of the outcome measure.</w:t>
      </w:r>
    </w:p>
    <w:p w:rsidR="008A2079" w:rsidRDefault="008A2079" w:rsidP="008A2079">
      <w:pPr>
        <w:spacing w:after="0" w:line="240" w:lineRule="auto"/>
        <w:rPr>
          <w:rFonts w:ascii="Trebuchet MS" w:eastAsia="Times New Roman" w:hAnsi="Trebuchet MS" w:cs="Times New Roman"/>
          <w:color w:val="1F497D" w:themeColor="text2"/>
          <w:sz w:val="18"/>
          <w:szCs w:val="18"/>
          <w:lang w:val="en"/>
        </w:rPr>
      </w:pPr>
    </w:p>
    <w:p w:rsidR="008A2079" w:rsidRDefault="008A2079" w:rsidP="008A2079">
      <w:pPr>
        <w:spacing w:after="0" w:line="240" w:lineRule="auto"/>
        <w:rPr>
          <w:rFonts w:ascii="Trebuchet MS" w:eastAsia="Times New Roman" w:hAnsi="Trebuchet MS" w:cs="Times New Roman"/>
          <w:color w:val="1F497D" w:themeColor="text2"/>
          <w:sz w:val="18"/>
          <w:szCs w:val="18"/>
          <w:lang w:val="en"/>
        </w:rPr>
      </w:pPr>
      <w:r w:rsidRPr="002113D3">
        <w:rPr>
          <w:rFonts w:ascii="Trebuchet MS" w:eastAsia="Times New Roman" w:hAnsi="Trebuchet MS" w:cs="Times New Roman"/>
          <w:color w:val="1F497D" w:themeColor="text2"/>
          <w:sz w:val="18"/>
          <w:szCs w:val="18"/>
          <w:lang w:val="en"/>
        </w:rPr>
        <w:t xml:space="preserve">MNCM </w:t>
      </w:r>
      <w:r>
        <w:rPr>
          <w:rFonts w:ascii="Trebuchet MS" w:eastAsia="Times New Roman" w:hAnsi="Trebuchet MS" w:cs="Times New Roman"/>
          <w:color w:val="1F497D" w:themeColor="text2"/>
          <w:sz w:val="18"/>
          <w:szCs w:val="18"/>
          <w:lang w:val="en"/>
        </w:rPr>
        <w:t>also calculates rates for tool administration as this measure is dependent on consistent administration of PRO assessment tools to patients.  Prior to any use of these outcome measures, we evaluate the rates of:</w:t>
      </w:r>
    </w:p>
    <w:p w:rsidR="008A2079" w:rsidRDefault="008A2079" w:rsidP="008A2079">
      <w:pPr>
        <w:pStyle w:val="ListParagraph"/>
        <w:numPr>
          <w:ilvl w:val="0"/>
          <w:numId w:val="29"/>
        </w:num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Rate of pre-operative OKS administered within three months prior to the date of procedure</w:t>
      </w:r>
    </w:p>
    <w:p w:rsidR="008A2079" w:rsidRDefault="008A2079" w:rsidP="008A2079">
      <w:pPr>
        <w:pStyle w:val="ListParagraph"/>
        <w:numPr>
          <w:ilvl w:val="0"/>
          <w:numId w:val="29"/>
        </w:numPr>
        <w:spacing w:after="0" w:line="240" w:lineRule="auto"/>
        <w:rPr>
          <w:rFonts w:ascii="Trebuchet MS" w:eastAsia="Times New Roman" w:hAnsi="Trebuchet MS" w:cs="Times New Roman"/>
          <w:color w:val="1F497D" w:themeColor="text2"/>
          <w:sz w:val="18"/>
          <w:szCs w:val="18"/>
          <w:lang w:val="en"/>
        </w:rPr>
      </w:pPr>
      <w:r w:rsidRPr="004907BD">
        <w:rPr>
          <w:rFonts w:ascii="Trebuchet MS" w:eastAsia="Times New Roman" w:hAnsi="Trebuchet MS" w:cs="Times New Roman"/>
          <w:color w:val="1F497D" w:themeColor="text2"/>
          <w:sz w:val="18"/>
          <w:szCs w:val="18"/>
          <w:lang w:val="en"/>
        </w:rPr>
        <w:t>Rate of post-operative O</w:t>
      </w:r>
      <w:r>
        <w:rPr>
          <w:rFonts w:ascii="Trebuchet MS" w:eastAsia="Times New Roman" w:hAnsi="Trebuchet MS" w:cs="Times New Roman"/>
          <w:color w:val="1F497D" w:themeColor="text2"/>
          <w:sz w:val="18"/>
          <w:szCs w:val="18"/>
          <w:lang w:val="en"/>
        </w:rPr>
        <w:t>KS</w:t>
      </w:r>
      <w:r w:rsidRPr="004907BD">
        <w:rPr>
          <w:rFonts w:ascii="Trebuchet MS" w:eastAsia="Times New Roman" w:hAnsi="Trebuchet MS" w:cs="Times New Roman"/>
          <w:color w:val="1F497D" w:themeColor="text2"/>
          <w:sz w:val="18"/>
          <w:szCs w:val="18"/>
          <w:lang w:val="en"/>
        </w:rPr>
        <w:t xml:space="preserve"> administered within nine to f</w:t>
      </w:r>
      <w:r>
        <w:rPr>
          <w:rFonts w:ascii="Trebuchet MS" w:eastAsia="Times New Roman" w:hAnsi="Trebuchet MS" w:cs="Times New Roman"/>
          <w:color w:val="1F497D" w:themeColor="text2"/>
          <w:sz w:val="18"/>
          <w:szCs w:val="18"/>
          <w:lang w:val="en"/>
        </w:rPr>
        <w:t xml:space="preserve">ifteen months post-operatively </w:t>
      </w:r>
      <w:r w:rsidRPr="004907BD">
        <w:rPr>
          <w:rFonts w:ascii="Trebuchet MS" w:eastAsia="Times New Roman" w:hAnsi="Trebuchet MS" w:cs="Times New Roman"/>
          <w:color w:val="1F497D" w:themeColor="text2"/>
          <w:sz w:val="18"/>
          <w:szCs w:val="18"/>
          <w:lang w:val="en"/>
        </w:rPr>
        <w:t>(one year)</w:t>
      </w:r>
    </w:p>
    <w:p w:rsidR="008A2079" w:rsidRPr="004907BD" w:rsidRDefault="008A2079" w:rsidP="008A2079">
      <w:pPr>
        <w:pStyle w:val="ListParagraph"/>
        <w:numPr>
          <w:ilvl w:val="0"/>
          <w:numId w:val="29"/>
        </w:numPr>
        <w:spacing w:after="0" w:line="240" w:lineRule="auto"/>
        <w:rPr>
          <w:rFonts w:ascii="Trebuchet MS" w:eastAsia="Times New Roman" w:hAnsi="Trebuchet MS" w:cs="Times New Roman"/>
          <w:color w:val="1F497D" w:themeColor="text2"/>
          <w:sz w:val="18"/>
          <w:szCs w:val="18"/>
          <w:lang w:val="en"/>
        </w:rPr>
      </w:pPr>
      <w:r w:rsidRPr="004907BD">
        <w:rPr>
          <w:rFonts w:ascii="Trebuchet MS" w:eastAsia="Times New Roman" w:hAnsi="Trebuchet MS" w:cs="Times New Roman"/>
          <w:color w:val="1F497D" w:themeColor="text2"/>
          <w:sz w:val="18"/>
          <w:szCs w:val="18"/>
          <w:lang w:val="en"/>
        </w:rPr>
        <w:t>Total and rate of patients who have both pre-operative and post-operative tool administration (denominator)</w:t>
      </w:r>
    </w:p>
    <w:p w:rsidR="008A2079" w:rsidRDefault="008A2079" w:rsidP="008A2079">
      <w:pPr>
        <w:spacing w:after="0" w:line="240" w:lineRule="auto"/>
        <w:rPr>
          <w:rFonts w:ascii="Trebuchet MS" w:eastAsia="Times New Roman" w:hAnsi="Trebuchet MS" w:cs="Times New Roman"/>
          <w:color w:val="1F497D" w:themeColor="text2"/>
          <w:sz w:val="18"/>
          <w:szCs w:val="18"/>
          <w:lang w:val="en"/>
        </w:rPr>
      </w:pPr>
    </w:p>
    <w:p w:rsidR="008F7E67" w:rsidRPr="008A2079" w:rsidRDefault="008A2079" w:rsidP="008A2079">
      <w:pPr>
        <w:spacing w:after="0" w:line="240" w:lineRule="auto"/>
        <w:rPr>
          <w:rFonts w:ascii="Trebuchet MS" w:eastAsia="Times New Roman" w:hAnsi="Trebuchet MS" w:cs="Times New Roman"/>
          <w:color w:val="1F497D" w:themeColor="text2"/>
          <w:sz w:val="18"/>
          <w:szCs w:val="18"/>
          <w:lang w:val="en"/>
        </w:rPr>
      </w:pPr>
      <w:r>
        <w:rPr>
          <w:rFonts w:ascii="Trebuchet MS" w:eastAsia="Times New Roman" w:hAnsi="Trebuchet MS" w:cs="Times New Roman"/>
          <w:color w:val="1F497D" w:themeColor="text2"/>
          <w:sz w:val="18"/>
          <w:szCs w:val="18"/>
          <w:lang w:val="en"/>
        </w:rPr>
        <w:t>During the measure development process, the work group anticipated fairly high rates of pre-operative administration and had an expectation that 70% of patients could be captured post-operatively, based on the percentage of patients they were seeing for a one year post-op visit.  It is noted that a face-to-face visit is not required for a follow-up ODI assessment; mail or email administration is acceptable.</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89F" w:rsidRDefault="008F589F" w:rsidP="005C73CA">
      <w:pPr>
        <w:spacing w:after="0" w:line="240" w:lineRule="auto"/>
      </w:pPr>
      <w:r>
        <w:separator/>
      </w:r>
    </w:p>
  </w:endnote>
  <w:endnote w:type="continuationSeparator" w:id="0">
    <w:p w:rsidR="008F589F" w:rsidRDefault="008F589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Default="0012454F">
    <w:pPr>
      <w:pStyle w:val="Footer"/>
    </w:pPr>
    <w:r>
      <w:t xml:space="preserve">Version 6.5 </w:t>
    </w:r>
    <w:r w:rsidR="003A7DE7">
      <w:t xml:space="preserve"> </w:t>
    </w:r>
    <w:r w:rsidR="008F7E67">
      <w:t>08/20/13</w:t>
    </w:r>
    <w:r w:rsidR="008F589F">
      <w:ptab w:relativeTo="margin" w:alignment="center" w:leader="none"/>
    </w:r>
    <w:r w:rsidR="008F589F">
      <w:ptab w:relativeTo="margin" w:alignment="right" w:leader="none"/>
    </w:r>
    <w:r w:rsidR="008F589F">
      <w:fldChar w:fldCharType="begin"/>
    </w:r>
    <w:r w:rsidR="008F589F">
      <w:instrText xml:space="preserve"> PAGE   \* MERGEFORMAT </w:instrText>
    </w:r>
    <w:r w:rsidR="008F589F">
      <w:fldChar w:fldCharType="separate"/>
    </w:r>
    <w:r w:rsidR="00E1337B">
      <w:rPr>
        <w:noProof/>
      </w:rPr>
      <w:t>7</w:t>
    </w:r>
    <w:r w:rsidR="008F589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89F" w:rsidRDefault="008F589F" w:rsidP="005C73CA">
      <w:pPr>
        <w:spacing w:after="0" w:line="240" w:lineRule="auto"/>
      </w:pPr>
      <w:r>
        <w:separator/>
      </w:r>
    </w:p>
  </w:footnote>
  <w:footnote w:type="continuationSeparator" w:id="0">
    <w:p w:rsidR="008F589F" w:rsidRDefault="008F589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89F" w:rsidRPr="00105D8B" w:rsidRDefault="008F589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E0097"/>
    <w:multiLevelType w:val="hybridMultilevel"/>
    <w:tmpl w:val="957AD2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B17A09"/>
    <w:multiLevelType w:val="hybridMultilevel"/>
    <w:tmpl w:val="BC0EE9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D373945"/>
    <w:multiLevelType w:val="hybridMultilevel"/>
    <w:tmpl w:val="A232E8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2"/>
  </w:num>
  <w:num w:numId="4">
    <w:abstractNumId w:val="5"/>
  </w:num>
  <w:num w:numId="5">
    <w:abstractNumId w:val="1"/>
  </w:num>
  <w:num w:numId="6">
    <w:abstractNumId w:val="0"/>
  </w:num>
  <w:num w:numId="7">
    <w:abstractNumId w:val="3"/>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9"/>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8"/>
  </w:num>
  <w:num w:numId="24">
    <w:abstractNumId w:val="14"/>
  </w:num>
  <w:num w:numId="25">
    <w:abstractNumId w:val="13"/>
  </w:num>
  <w:num w:numId="26">
    <w:abstractNumId w:val="27"/>
  </w:num>
  <w:num w:numId="27">
    <w:abstractNumId w:val="7"/>
  </w:num>
  <w:num w:numId="28">
    <w:abstractNumId w:val="17"/>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ocumentProtection w:edit="forms" w:enforcement="0"/>
  <w:defaultTabStop w:val="720"/>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3C1B"/>
    <w:rsid w:val="00145149"/>
    <w:rsid w:val="00145D4F"/>
    <w:rsid w:val="0014773C"/>
    <w:rsid w:val="00150C65"/>
    <w:rsid w:val="0017696D"/>
    <w:rsid w:val="001848FC"/>
    <w:rsid w:val="001969C5"/>
    <w:rsid w:val="001A6CDD"/>
    <w:rsid w:val="001C12EE"/>
    <w:rsid w:val="001C7B02"/>
    <w:rsid w:val="001D03ED"/>
    <w:rsid w:val="001D5B91"/>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2F41"/>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3F85"/>
    <w:rsid w:val="0038779A"/>
    <w:rsid w:val="003A306C"/>
    <w:rsid w:val="003A7DE7"/>
    <w:rsid w:val="003A7F86"/>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1E3"/>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D63AF"/>
    <w:rsid w:val="005E2CAB"/>
    <w:rsid w:val="005E429E"/>
    <w:rsid w:val="00601ED4"/>
    <w:rsid w:val="006023C0"/>
    <w:rsid w:val="006030BC"/>
    <w:rsid w:val="00612866"/>
    <w:rsid w:val="00616EB5"/>
    <w:rsid w:val="006269D4"/>
    <w:rsid w:val="006327D8"/>
    <w:rsid w:val="0064070A"/>
    <w:rsid w:val="00643A01"/>
    <w:rsid w:val="006574D2"/>
    <w:rsid w:val="006676D4"/>
    <w:rsid w:val="00675535"/>
    <w:rsid w:val="00681359"/>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6FFF"/>
    <w:rsid w:val="00747C45"/>
    <w:rsid w:val="00756FDB"/>
    <w:rsid w:val="007629B6"/>
    <w:rsid w:val="007665BF"/>
    <w:rsid w:val="00771B2A"/>
    <w:rsid w:val="007757CE"/>
    <w:rsid w:val="00775800"/>
    <w:rsid w:val="0077746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84486"/>
    <w:rsid w:val="008871A9"/>
    <w:rsid w:val="008916BA"/>
    <w:rsid w:val="00892176"/>
    <w:rsid w:val="0089673D"/>
    <w:rsid w:val="008A1DB7"/>
    <w:rsid w:val="008A2079"/>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9F36A6"/>
    <w:rsid w:val="00A01494"/>
    <w:rsid w:val="00A22FA9"/>
    <w:rsid w:val="00A25024"/>
    <w:rsid w:val="00A35F8F"/>
    <w:rsid w:val="00A41377"/>
    <w:rsid w:val="00A4263D"/>
    <w:rsid w:val="00A509B8"/>
    <w:rsid w:val="00A52AB9"/>
    <w:rsid w:val="00A6210B"/>
    <w:rsid w:val="00A7323A"/>
    <w:rsid w:val="00A831B4"/>
    <w:rsid w:val="00A83A5B"/>
    <w:rsid w:val="00A84A53"/>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045E7"/>
    <w:rsid w:val="00C14CCC"/>
    <w:rsid w:val="00C22C1C"/>
    <w:rsid w:val="00C33F2E"/>
    <w:rsid w:val="00C34936"/>
    <w:rsid w:val="00C34C14"/>
    <w:rsid w:val="00C355B9"/>
    <w:rsid w:val="00C401C4"/>
    <w:rsid w:val="00C41680"/>
    <w:rsid w:val="00C60A25"/>
    <w:rsid w:val="00C73DF5"/>
    <w:rsid w:val="00C765C5"/>
    <w:rsid w:val="00C82479"/>
    <w:rsid w:val="00C867F0"/>
    <w:rsid w:val="00CA06D8"/>
    <w:rsid w:val="00CA345A"/>
    <w:rsid w:val="00CB49FF"/>
    <w:rsid w:val="00CC02CF"/>
    <w:rsid w:val="00CC086A"/>
    <w:rsid w:val="00CD0F66"/>
    <w:rsid w:val="00CD364B"/>
    <w:rsid w:val="00CE23B8"/>
    <w:rsid w:val="00CE50D7"/>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337B"/>
    <w:rsid w:val="00E1508F"/>
    <w:rsid w:val="00E27240"/>
    <w:rsid w:val="00E27EDD"/>
    <w:rsid w:val="00E30584"/>
    <w:rsid w:val="00E310B9"/>
    <w:rsid w:val="00E37E1B"/>
    <w:rsid w:val="00E562C0"/>
    <w:rsid w:val="00E672D6"/>
    <w:rsid w:val="00E76024"/>
    <w:rsid w:val="00E77D2B"/>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A6265"/>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223FA3"/>
    <w:rsid w:val="002A288F"/>
    <w:rsid w:val="002F052A"/>
    <w:rsid w:val="00350176"/>
    <w:rsid w:val="003840F0"/>
    <w:rsid w:val="00437537"/>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10</Pages>
  <Words>5307</Words>
  <Characters>30255</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Collette Pitzen</cp:lastModifiedBy>
  <cp:revision>13</cp:revision>
  <dcterms:created xsi:type="dcterms:W3CDTF">2014-10-29T22:06:00Z</dcterms:created>
  <dcterms:modified xsi:type="dcterms:W3CDTF">2014-10-31T23:21:00Z</dcterms:modified>
</cp:coreProperties>
</file>